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B62D0" w14:textId="77777777" w:rsidR="0016375B" w:rsidRPr="003B5CE8" w:rsidRDefault="0016375B">
      <w:pPr>
        <w:spacing w:line="360" w:lineRule="auto"/>
        <w:rPr>
          <w:bCs/>
          <w:iCs/>
          <w:color w:val="000000"/>
          <w:sz w:val="24"/>
        </w:rPr>
      </w:pPr>
      <w:r w:rsidRPr="003B5CE8">
        <w:rPr>
          <w:bCs/>
          <w:iCs/>
          <w:color w:val="000000"/>
          <w:sz w:val="24"/>
        </w:rPr>
        <w:t>证券代码：</w:t>
      </w:r>
      <w:r w:rsidRPr="003B5CE8">
        <w:rPr>
          <w:bCs/>
          <w:iCs/>
          <w:color w:val="000000"/>
          <w:sz w:val="24"/>
        </w:rPr>
        <w:t>300</w:t>
      </w:r>
      <w:r w:rsidR="00AE7FCE" w:rsidRPr="003B5CE8">
        <w:rPr>
          <w:bCs/>
          <w:iCs/>
          <w:color w:val="000000"/>
          <w:sz w:val="24"/>
        </w:rPr>
        <w:t>759</w:t>
      </w:r>
      <w:r w:rsidRPr="003B5CE8">
        <w:rPr>
          <w:bCs/>
          <w:iCs/>
          <w:color w:val="000000"/>
          <w:sz w:val="24"/>
        </w:rPr>
        <w:t xml:space="preserve">                                        </w:t>
      </w:r>
      <w:r w:rsidRPr="003B5CE8">
        <w:rPr>
          <w:bCs/>
          <w:iCs/>
          <w:color w:val="000000"/>
          <w:sz w:val="24"/>
        </w:rPr>
        <w:t>证券简称：</w:t>
      </w:r>
      <w:r w:rsidR="00AE7FCE" w:rsidRPr="003B5CE8">
        <w:rPr>
          <w:bCs/>
          <w:iCs/>
          <w:color w:val="000000"/>
          <w:sz w:val="24"/>
        </w:rPr>
        <w:t>康龙化成</w:t>
      </w:r>
    </w:p>
    <w:p w14:paraId="31CAAD1D" w14:textId="77777777" w:rsidR="0016375B" w:rsidRPr="003B5CE8" w:rsidRDefault="0016375B">
      <w:pPr>
        <w:spacing w:line="360" w:lineRule="auto"/>
        <w:jc w:val="center"/>
        <w:rPr>
          <w:b/>
          <w:bCs/>
          <w:iCs/>
          <w:color w:val="000000"/>
          <w:sz w:val="24"/>
        </w:rPr>
      </w:pPr>
    </w:p>
    <w:p w14:paraId="47600C6C" w14:textId="77777777" w:rsidR="0016375B" w:rsidRPr="003B5CE8" w:rsidRDefault="00AE7FCE">
      <w:pPr>
        <w:spacing w:line="360" w:lineRule="auto"/>
        <w:jc w:val="center"/>
        <w:rPr>
          <w:b/>
          <w:bCs/>
          <w:iCs/>
          <w:color w:val="000000"/>
          <w:sz w:val="28"/>
          <w:szCs w:val="28"/>
        </w:rPr>
      </w:pPr>
      <w:r w:rsidRPr="003B5CE8">
        <w:rPr>
          <w:b/>
          <w:bCs/>
          <w:iCs/>
          <w:color w:val="000000"/>
          <w:sz w:val="28"/>
          <w:szCs w:val="28"/>
        </w:rPr>
        <w:t>康龙化成（北京）新药技术</w:t>
      </w:r>
      <w:r w:rsidR="0016375B" w:rsidRPr="003B5CE8">
        <w:rPr>
          <w:b/>
          <w:bCs/>
          <w:iCs/>
          <w:color w:val="000000"/>
          <w:sz w:val="28"/>
          <w:szCs w:val="28"/>
        </w:rPr>
        <w:t>股份有限公司投资者关系活动记录表</w:t>
      </w:r>
    </w:p>
    <w:p w14:paraId="4AC971BC" w14:textId="3EDBFFE3" w:rsidR="0016375B" w:rsidRPr="003B5CE8" w:rsidRDefault="0016375B" w:rsidP="00AE7FCE">
      <w:pPr>
        <w:spacing w:line="360" w:lineRule="auto"/>
        <w:jc w:val="right"/>
        <w:rPr>
          <w:bCs/>
          <w:iCs/>
          <w:color w:val="000000"/>
          <w:sz w:val="24"/>
        </w:rPr>
      </w:pPr>
      <w:r w:rsidRPr="003B5CE8">
        <w:rPr>
          <w:bCs/>
          <w:iCs/>
          <w:color w:val="000000"/>
          <w:sz w:val="24"/>
        </w:rPr>
        <w:t>编号：</w:t>
      </w:r>
      <w:r w:rsidR="00E8354D" w:rsidRPr="003B5CE8">
        <w:rPr>
          <w:bCs/>
          <w:iCs/>
          <w:color w:val="000000"/>
          <w:sz w:val="24"/>
        </w:rPr>
        <w:t>20</w:t>
      </w:r>
      <w:r w:rsidR="00B954F9" w:rsidRPr="003B5CE8">
        <w:rPr>
          <w:bCs/>
          <w:iCs/>
          <w:color w:val="000000"/>
          <w:sz w:val="24"/>
        </w:rPr>
        <w:t>2</w:t>
      </w:r>
      <w:r w:rsidR="00217118">
        <w:rPr>
          <w:bCs/>
          <w:iCs/>
          <w:color w:val="000000"/>
          <w:sz w:val="24"/>
        </w:rPr>
        <w:t>1</w:t>
      </w:r>
      <w:r w:rsidR="00AE7FCE" w:rsidRPr="003B5CE8">
        <w:rPr>
          <w:bCs/>
          <w:iCs/>
          <w:color w:val="000000"/>
          <w:sz w:val="24"/>
        </w:rPr>
        <w:t>-0</w:t>
      </w:r>
      <w:r w:rsidR="006D76A8">
        <w:rPr>
          <w:bCs/>
          <w:iCs/>
          <w:color w:val="000000"/>
          <w:sz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7786"/>
      </w:tblGrid>
      <w:tr w:rsidR="0016375B" w:rsidRPr="003B5CE8" w14:paraId="1A912C75" w14:textId="77777777">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2D1D25B8" w14:textId="77777777" w:rsidR="0016375B" w:rsidRPr="003B5CE8" w:rsidRDefault="0016375B">
            <w:pPr>
              <w:spacing w:line="360" w:lineRule="auto"/>
              <w:jc w:val="center"/>
              <w:rPr>
                <w:bCs/>
                <w:iCs/>
                <w:color w:val="000000"/>
                <w:sz w:val="24"/>
              </w:rPr>
            </w:pPr>
            <w:r w:rsidRPr="003B5CE8">
              <w:rPr>
                <w:bCs/>
                <w:iCs/>
                <w:color w:val="000000"/>
                <w:sz w:val="24"/>
              </w:rPr>
              <w:t>投资者关系</w:t>
            </w:r>
          </w:p>
          <w:p w14:paraId="523CD750" w14:textId="77777777" w:rsidR="0016375B" w:rsidRPr="003B5CE8" w:rsidRDefault="0016375B">
            <w:pPr>
              <w:spacing w:line="360" w:lineRule="auto"/>
              <w:jc w:val="center"/>
              <w:rPr>
                <w:bCs/>
                <w:iCs/>
                <w:color w:val="000000"/>
                <w:sz w:val="24"/>
              </w:rPr>
            </w:pPr>
            <w:r w:rsidRPr="003B5CE8">
              <w:rPr>
                <w:bCs/>
                <w:iCs/>
                <w:color w:val="000000"/>
                <w:sz w:val="24"/>
              </w:rPr>
              <w:t>活动类别</w:t>
            </w:r>
          </w:p>
        </w:tc>
        <w:tc>
          <w:tcPr>
            <w:tcW w:w="7786" w:type="dxa"/>
            <w:tcBorders>
              <w:top w:val="single" w:sz="4" w:space="0" w:color="auto"/>
              <w:left w:val="single" w:sz="4" w:space="0" w:color="auto"/>
              <w:bottom w:val="single" w:sz="4" w:space="0" w:color="auto"/>
              <w:right w:val="single" w:sz="4" w:space="0" w:color="auto"/>
            </w:tcBorders>
            <w:vAlign w:val="center"/>
          </w:tcPr>
          <w:p w14:paraId="031CFF3E" w14:textId="77777777" w:rsidR="0016375B" w:rsidRPr="003B5CE8" w:rsidRDefault="00B954F9">
            <w:pPr>
              <w:spacing w:line="360" w:lineRule="auto"/>
              <w:rPr>
                <w:bCs/>
                <w:iCs/>
                <w:color w:val="000000"/>
                <w:sz w:val="24"/>
              </w:rPr>
            </w:pPr>
            <w:r w:rsidRPr="003B5CE8">
              <w:rPr>
                <w:bCs/>
                <w:iCs/>
                <w:color w:val="000000"/>
                <w:sz w:val="24"/>
              </w:rPr>
              <w:t>□</w:t>
            </w:r>
            <w:r w:rsidR="0016375B" w:rsidRPr="003B5CE8">
              <w:rPr>
                <w:bCs/>
                <w:iCs/>
                <w:color w:val="000000"/>
                <w:sz w:val="24"/>
              </w:rPr>
              <w:t>特定对象调研</w:t>
            </w:r>
            <w:r w:rsidR="0016375B" w:rsidRPr="003B5CE8">
              <w:rPr>
                <w:bCs/>
                <w:iCs/>
                <w:color w:val="000000"/>
                <w:sz w:val="24"/>
              </w:rPr>
              <w:t xml:space="preserve">        □</w:t>
            </w:r>
            <w:r w:rsidR="0016375B" w:rsidRPr="003B5CE8">
              <w:rPr>
                <w:bCs/>
                <w:iCs/>
                <w:color w:val="000000"/>
                <w:sz w:val="24"/>
              </w:rPr>
              <w:t>分析师会议</w:t>
            </w:r>
          </w:p>
          <w:p w14:paraId="0A78A593" w14:textId="06168B5F" w:rsidR="0016375B" w:rsidRPr="003B5CE8" w:rsidRDefault="0016375B">
            <w:pPr>
              <w:spacing w:line="360" w:lineRule="auto"/>
              <w:rPr>
                <w:bCs/>
                <w:iCs/>
                <w:color w:val="000000"/>
                <w:sz w:val="24"/>
              </w:rPr>
            </w:pPr>
            <w:r w:rsidRPr="003B5CE8">
              <w:rPr>
                <w:bCs/>
                <w:iCs/>
                <w:color w:val="000000"/>
                <w:sz w:val="24"/>
              </w:rPr>
              <w:t>□</w:t>
            </w:r>
            <w:r w:rsidRPr="003B5CE8">
              <w:rPr>
                <w:sz w:val="24"/>
              </w:rPr>
              <w:t>媒体采访</w:t>
            </w:r>
            <w:r w:rsidRPr="003B5CE8">
              <w:rPr>
                <w:sz w:val="24"/>
              </w:rPr>
              <w:t xml:space="preserve">            </w:t>
            </w:r>
            <w:r w:rsidR="006D76A8" w:rsidRPr="003B5CE8">
              <w:rPr>
                <w:bCs/>
                <w:iCs/>
                <w:color w:val="000000"/>
                <w:sz w:val="24"/>
              </w:rPr>
              <w:t>√</w:t>
            </w:r>
            <w:r w:rsidRPr="003B5CE8">
              <w:rPr>
                <w:sz w:val="24"/>
              </w:rPr>
              <w:t>业绩说明会</w:t>
            </w:r>
          </w:p>
          <w:p w14:paraId="5174A6C9" w14:textId="77777777" w:rsidR="0016375B" w:rsidRPr="003B5CE8" w:rsidRDefault="0016375B">
            <w:pPr>
              <w:spacing w:line="360" w:lineRule="auto"/>
              <w:rPr>
                <w:bCs/>
                <w:iCs/>
                <w:color w:val="000000"/>
                <w:sz w:val="24"/>
              </w:rPr>
            </w:pPr>
            <w:r w:rsidRPr="003B5CE8">
              <w:rPr>
                <w:bCs/>
                <w:iCs/>
                <w:color w:val="000000"/>
                <w:sz w:val="24"/>
              </w:rPr>
              <w:t>□</w:t>
            </w:r>
            <w:r w:rsidRPr="003B5CE8">
              <w:rPr>
                <w:sz w:val="24"/>
              </w:rPr>
              <w:t>新闻发布会</w:t>
            </w:r>
            <w:r w:rsidRPr="003B5CE8">
              <w:rPr>
                <w:sz w:val="24"/>
              </w:rPr>
              <w:t xml:space="preserve">          </w:t>
            </w:r>
            <w:r w:rsidRPr="003B5CE8">
              <w:rPr>
                <w:bCs/>
                <w:iCs/>
                <w:color w:val="000000"/>
                <w:sz w:val="24"/>
              </w:rPr>
              <w:t>□</w:t>
            </w:r>
            <w:r w:rsidRPr="003B5CE8">
              <w:rPr>
                <w:sz w:val="24"/>
              </w:rPr>
              <w:t>路演活动</w:t>
            </w:r>
          </w:p>
          <w:p w14:paraId="032F4834" w14:textId="77777777" w:rsidR="0016375B" w:rsidRPr="003B5CE8" w:rsidRDefault="0016375B">
            <w:pPr>
              <w:tabs>
                <w:tab w:val="left" w:pos="3045"/>
                <w:tab w:val="center" w:pos="3199"/>
              </w:tabs>
              <w:spacing w:line="360" w:lineRule="auto"/>
              <w:rPr>
                <w:bCs/>
                <w:iCs/>
                <w:color w:val="000000"/>
                <w:sz w:val="24"/>
              </w:rPr>
            </w:pPr>
            <w:r w:rsidRPr="003B5CE8">
              <w:rPr>
                <w:bCs/>
                <w:iCs/>
                <w:color w:val="000000"/>
                <w:sz w:val="24"/>
              </w:rPr>
              <w:t>□</w:t>
            </w:r>
            <w:r w:rsidRPr="003B5CE8">
              <w:rPr>
                <w:sz w:val="24"/>
              </w:rPr>
              <w:t>现场参观</w:t>
            </w:r>
            <w:r w:rsidRPr="003B5CE8">
              <w:rPr>
                <w:bCs/>
                <w:iCs/>
                <w:color w:val="000000"/>
                <w:sz w:val="24"/>
              </w:rPr>
              <w:tab/>
            </w:r>
          </w:p>
          <w:p w14:paraId="47F19941" w14:textId="08F4E4CB" w:rsidR="0016375B" w:rsidRPr="003B5CE8" w:rsidRDefault="006D76A8">
            <w:pPr>
              <w:tabs>
                <w:tab w:val="center" w:pos="3199"/>
              </w:tabs>
              <w:spacing w:line="360" w:lineRule="auto"/>
              <w:rPr>
                <w:bCs/>
                <w:iCs/>
                <w:color w:val="000000"/>
                <w:sz w:val="24"/>
              </w:rPr>
            </w:pPr>
            <w:r w:rsidRPr="003B5CE8">
              <w:rPr>
                <w:bCs/>
                <w:iCs/>
                <w:color w:val="000000"/>
                <w:sz w:val="24"/>
              </w:rPr>
              <w:t>□</w:t>
            </w:r>
            <w:r w:rsidR="0016375B" w:rsidRPr="003B5CE8">
              <w:rPr>
                <w:sz w:val="24"/>
              </w:rPr>
              <w:t>其他</w:t>
            </w:r>
            <w:r w:rsidR="0016375B" w:rsidRPr="003B5CE8">
              <w:rPr>
                <w:sz w:val="24"/>
              </w:rPr>
              <w:t xml:space="preserve"> </w:t>
            </w:r>
            <w:r w:rsidR="0016375B" w:rsidRPr="003B5CE8">
              <w:rPr>
                <w:sz w:val="24"/>
              </w:rPr>
              <w:t>（</w:t>
            </w:r>
            <w:r>
              <w:rPr>
                <w:rFonts w:hint="eastAsia"/>
                <w:sz w:val="24"/>
                <w:u w:val="single"/>
              </w:rPr>
              <w:t xml:space="preserve"> </w:t>
            </w:r>
            <w:r>
              <w:rPr>
                <w:sz w:val="24"/>
                <w:u w:val="single"/>
              </w:rPr>
              <w:t xml:space="preserve">      </w:t>
            </w:r>
            <w:r w:rsidR="0016375B" w:rsidRPr="006D76A8">
              <w:rPr>
                <w:sz w:val="24"/>
              </w:rPr>
              <w:t>）</w:t>
            </w:r>
          </w:p>
        </w:tc>
      </w:tr>
      <w:tr w:rsidR="0016375B" w:rsidRPr="003B5CE8" w14:paraId="17CAB64D" w14:textId="77777777">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4E6346D1" w14:textId="77777777" w:rsidR="0016375B" w:rsidRPr="003B5CE8" w:rsidRDefault="0016375B">
            <w:pPr>
              <w:spacing w:line="360" w:lineRule="auto"/>
              <w:jc w:val="center"/>
              <w:rPr>
                <w:bCs/>
                <w:iCs/>
                <w:color w:val="000000"/>
                <w:sz w:val="24"/>
              </w:rPr>
            </w:pPr>
            <w:r w:rsidRPr="003B5CE8">
              <w:rPr>
                <w:bCs/>
                <w:iCs/>
                <w:color w:val="000000"/>
                <w:sz w:val="24"/>
              </w:rPr>
              <w:t>参与单位名称及人员姓名</w:t>
            </w:r>
          </w:p>
        </w:tc>
        <w:tc>
          <w:tcPr>
            <w:tcW w:w="7786" w:type="dxa"/>
            <w:tcBorders>
              <w:top w:val="single" w:sz="4" w:space="0" w:color="auto"/>
              <w:left w:val="single" w:sz="4" w:space="0" w:color="auto"/>
              <w:bottom w:val="single" w:sz="4" w:space="0" w:color="auto"/>
              <w:right w:val="single" w:sz="4" w:space="0" w:color="auto"/>
            </w:tcBorders>
            <w:vAlign w:val="center"/>
          </w:tcPr>
          <w:p w14:paraId="51A09040" w14:textId="1E7EFEF1" w:rsidR="00826595" w:rsidRPr="003B5CE8" w:rsidRDefault="006D76A8" w:rsidP="00FA155D">
            <w:pPr>
              <w:spacing w:line="360" w:lineRule="auto"/>
              <w:rPr>
                <w:bCs/>
                <w:iCs/>
                <w:color w:val="000000"/>
                <w:sz w:val="24"/>
              </w:rPr>
            </w:pPr>
            <w:r w:rsidRPr="006D76A8">
              <w:rPr>
                <w:rFonts w:hint="eastAsia"/>
                <w:bCs/>
                <w:iCs/>
                <w:color w:val="000000"/>
                <w:sz w:val="24"/>
              </w:rPr>
              <w:t>投资者</w:t>
            </w:r>
            <w:r w:rsidRPr="006D76A8">
              <w:rPr>
                <w:rFonts w:hint="eastAsia"/>
                <w:bCs/>
                <w:iCs/>
                <w:color w:val="000000"/>
                <w:sz w:val="24"/>
              </w:rPr>
              <w:t>136****8809</w:t>
            </w:r>
            <w:r>
              <w:rPr>
                <w:rFonts w:hint="eastAsia"/>
                <w:bCs/>
                <w:iCs/>
                <w:color w:val="000000"/>
                <w:sz w:val="24"/>
              </w:rPr>
              <w:t>、</w:t>
            </w:r>
            <w:r w:rsidRPr="006D76A8">
              <w:rPr>
                <w:bCs/>
                <w:iCs/>
                <w:color w:val="000000"/>
                <w:sz w:val="24"/>
              </w:rPr>
              <w:t>186****7071</w:t>
            </w:r>
            <w:r>
              <w:rPr>
                <w:rFonts w:hint="eastAsia"/>
                <w:bCs/>
                <w:iCs/>
                <w:color w:val="000000"/>
                <w:sz w:val="24"/>
              </w:rPr>
              <w:t>、</w:t>
            </w:r>
            <w:r w:rsidRPr="006D76A8">
              <w:rPr>
                <w:rFonts w:hint="eastAsia"/>
                <w:bCs/>
                <w:iCs/>
                <w:color w:val="000000"/>
                <w:sz w:val="24"/>
              </w:rPr>
              <w:t>投资者</w:t>
            </w:r>
            <w:r w:rsidRPr="006D76A8">
              <w:rPr>
                <w:rFonts w:hint="eastAsia"/>
                <w:bCs/>
                <w:iCs/>
                <w:color w:val="000000"/>
                <w:sz w:val="24"/>
              </w:rPr>
              <w:t>185****0525</w:t>
            </w:r>
            <w:r>
              <w:rPr>
                <w:rFonts w:hint="eastAsia"/>
                <w:bCs/>
                <w:iCs/>
                <w:color w:val="000000"/>
                <w:sz w:val="24"/>
              </w:rPr>
              <w:t>、</w:t>
            </w:r>
            <w:r w:rsidRPr="006D76A8">
              <w:rPr>
                <w:rFonts w:hint="eastAsia"/>
                <w:bCs/>
                <w:iCs/>
                <w:color w:val="000000"/>
                <w:sz w:val="24"/>
              </w:rPr>
              <w:t>投资者</w:t>
            </w:r>
            <w:r w:rsidRPr="006D76A8">
              <w:rPr>
                <w:rFonts w:hint="eastAsia"/>
                <w:bCs/>
                <w:iCs/>
                <w:color w:val="000000"/>
                <w:sz w:val="24"/>
              </w:rPr>
              <w:t>156****0848</w:t>
            </w:r>
            <w:r>
              <w:rPr>
                <w:rFonts w:hint="eastAsia"/>
                <w:bCs/>
                <w:iCs/>
                <w:color w:val="000000"/>
                <w:sz w:val="24"/>
              </w:rPr>
              <w:t>、</w:t>
            </w:r>
            <w:r w:rsidRPr="006D76A8">
              <w:rPr>
                <w:bCs/>
                <w:iCs/>
                <w:color w:val="000000"/>
                <w:sz w:val="24"/>
              </w:rPr>
              <w:t>186****0270</w:t>
            </w:r>
            <w:r>
              <w:rPr>
                <w:rFonts w:hint="eastAsia"/>
                <w:bCs/>
                <w:iCs/>
                <w:color w:val="000000"/>
                <w:sz w:val="24"/>
              </w:rPr>
              <w:t>、</w:t>
            </w:r>
            <w:r w:rsidRPr="006D76A8">
              <w:rPr>
                <w:rFonts w:hint="eastAsia"/>
                <w:bCs/>
                <w:iCs/>
                <w:color w:val="000000"/>
                <w:sz w:val="24"/>
              </w:rPr>
              <w:t>投资者</w:t>
            </w:r>
            <w:r w:rsidRPr="006D76A8">
              <w:rPr>
                <w:rFonts w:hint="eastAsia"/>
                <w:bCs/>
                <w:iCs/>
                <w:color w:val="000000"/>
                <w:sz w:val="24"/>
              </w:rPr>
              <w:t>130****0050</w:t>
            </w:r>
            <w:r>
              <w:rPr>
                <w:rFonts w:hint="eastAsia"/>
                <w:bCs/>
                <w:iCs/>
                <w:color w:val="000000"/>
                <w:sz w:val="24"/>
              </w:rPr>
              <w:t>、</w:t>
            </w:r>
            <w:r w:rsidRPr="006D76A8">
              <w:rPr>
                <w:rFonts w:hint="eastAsia"/>
                <w:bCs/>
                <w:iCs/>
                <w:color w:val="000000"/>
                <w:sz w:val="24"/>
              </w:rPr>
              <w:t>新徒</w:t>
            </w:r>
            <w:r w:rsidRPr="006D76A8">
              <w:rPr>
                <w:rFonts w:hint="eastAsia"/>
                <w:bCs/>
                <w:iCs/>
                <w:color w:val="000000"/>
                <w:sz w:val="24"/>
              </w:rPr>
              <w:t>666</w:t>
            </w:r>
            <w:r>
              <w:rPr>
                <w:rFonts w:hint="eastAsia"/>
                <w:bCs/>
                <w:iCs/>
                <w:color w:val="000000"/>
                <w:sz w:val="24"/>
              </w:rPr>
              <w:t>、</w:t>
            </w:r>
            <w:r w:rsidRPr="006D76A8">
              <w:rPr>
                <w:rFonts w:hint="eastAsia"/>
                <w:bCs/>
                <w:iCs/>
                <w:color w:val="000000"/>
                <w:sz w:val="24"/>
              </w:rPr>
              <w:t>长翅膀</w:t>
            </w:r>
            <w:r w:rsidRPr="006D76A8">
              <w:rPr>
                <w:rFonts w:hint="eastAsia"/>
                <w:bCs/>
                <w:iCs/>
                <w:color w:val="000000"/>
                <w:sz w:val="24"/>
              </w:rPr>
              <w:t>de</w:t>
            </w:r>
            <w:r w:rsidRPr="006D76A8">
              <w:rPr>
                <w:rFonts w:hint="eastAsia"/>
                <w:bCs/>
                <w:iCs/>
                <w:color w:val="000000"/>
                <w:sz w:val="24"/>
              </w:rPr>
              <w:t>鱼</w:t>
            </w:r>
            <w:r>
              <w:rPr>
                <w:rFonts w:hint="eastAsia"/>
                <w:bCs/>
                <w:iCs/>
                <w:color w:val="000000"/>
                <w:sz w:val="24"/>
              </w:rPr>
              <w:t>、</w:t>
            </w:r>
            <w:r w:rsidRPr="006D76A8">
              <w:rPr>
                <w:rFonts w:hint="eastAsia"/>
                <w:bCs/>
                <w:iCs/>
                <w:color w:val="000000"/>
                <w:sz w:val="24"/>
              </w:rPr>
              <w:t>池啸</w:t>
            </w:r>
            <w:r w:rsidR="001D4D8B">
              <w:rPr>
                <w:rFonts w:hint="eastAsia"/>
                <w:bCs/>
                <w:iCs/>
                <w:color w:val="000000"/>
                <w:sz w:val="24"/>
              </w:rPr>
              <w:t>（</w:t>
            </w:r>
            <w:r w:rsidRPr="006D76A8">
              <w:rPr>
                <w:rFonts w:hint="eastAsia"/>
                <w:bCs/>
                <w:iCs/>
                <w:color w:val="000000"/>
                <w:sz w:val="24"/>
              </w:rPr>
              <w:t>Michael</w:t>
            </w:r>
            <w:r w:rsidR="001D4D8B">
              <w:rPr>
                <w:rFonts w:hint="eastAsia"/>
                <w:bCs/>
                <w:iCs/>
                <w:color w:val="000000"/>
                <w:sz w:val="24"/>
              </w:rPr>
              <w:t>）等</w:t>
            </w:r>
            <w:r w:rsidR="001D4D8B">
              <w:rPr>
                <w:rFonts w:hint="eastAsia"/>
                <w:bCs/>
                <w:iCs/>
                <w:color w:val="000000"/>
                <w:sz w:val="24"/>
              </w:rPr>
              <w:t>3</w:t>
            </w:r>
            <w:r w:rsidR="001D4D8B">
              <w:rPr>
                <w:bCs/>
                <w:iCs/>
                <w:color w:val="000000"/>
                <w:sz w:val="24"/>
              </w:rPr>
              <w:t>0</w:t>
            </w:r>
            <w:r w:rsidR="001D4D8B">
              <w:rPr>
                <w:rFonts w:hint="eastAsia"/>
                <w:bCs/>
                <w:iCs/>
                <w:color w:val="000000"/>
                <w:sz w:val="24"/>
              </w:rPr>
              <w:t>名投资者参与</w:t>
            </w:r>
          </w:p>
        </w:tc>
      </w:tr>
      <w:tr w:rsidR="0016375B" w:rsidRPr="003B5CE8" w14:paraId="1304DBDB" w14:textId="77777777">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56C073A6" w14:textId="77777777" w:rsidR="0016375B" w:rsidRPr="003B5CE8" w:rsidRDefault="0016375B">
            <w:pPr>
              <w:spacing w:line="360" w:lineRule="auto"/>
              <w:jc w:val="center"/>
              <w:rPr>
                <w:bCs/>
                <w:iCs/>
                <w:color w:val="000000"/>
                <w:sz w:val="24"/>
              </w:rPr>
            </w:pPr>
            <w:r w:rsidRPr="003B5CE8">
              <w:rPr>
                <w:bCs/>
                <w:iCs/>
                <w:color w:val="000000"/>
                <w:sz w:val="24"/>
              </w:rPr>
              <w:t>时</w:t>
            </w:r>
            <w:r w:rsidRPr="003B5CE8">
              <w:rPr>
                <w:bCs/>
                <w:iCs/>
                <w:color w:val="000000"/>
                <w:sz w:val="24"/>
              </w:rPr>
              <w:t xml:space="preserve">  </w:t>
            </w:r>
            <w:r w:rsidRPr="003B5CE8">
              <w:rPr>
                <w:bCs/>
                <w:iCs/>
                <w:color w:val="000000"/>
                <w:sz w:val="24"/>
              </w:rPr>
              <w:t>间</w:t>
            </w:r>
          </w:p>
        </w:tc>
        <w:tc>
          <w:tcPr>
            <w:tcW w:w="7786" w:type="dxa"/>
            <w:tcBorders>
              <w:top w:val="single" w:sz="4" w:space="0" w:color="auto"/>
              <w:left w:val="single" w:sz="4" w:space="0" w:color="auto"/>
              <w:bottom w:val="single" w:sz="4" w:space="0" w:color="auto"/>
              <w:right w:val="single" w:sz="4" w:space="0" w:color="auto"/>
            </w:tcBorders>
            <w:vAlign w:val="center"/>
          </w:tcPr>
          <w:p w14:paraId="302192AE" w14:textId="3010FA35" w:rsidR="0016375B" w:rsidRPr="003B5CE8" w:rsidRDefault="00E8354D" w:rsidP="00B84DF1">
            <w:pPr>
              <w:spacing w:line="360" w:lineRule="auto"/>
              <w:rPr>
                <w:bCs/>
                <w:iCs/>
                <w:color w:val="000000"/>
                <w:sz w:val="24"/>
              </w:rPr>
            </w:pPr>
            <w:r w:rsidRPr="003B5CE8">
              <w:rPr>
                <w:bCs/>
                <w:iCs/>
                <w:color w:val="000000"/>
                <w:sz w:val="24"/>
              </w:rPr>
              <w:t>20</w:t>
            </w:r>
            <w:r w:rsidR="00B954F9" w:rsidRPr="003B5CE8">
              <w:rPr>
                <w:bCs/>
                <w:iCs/>
                <w:color w:val="000000"/>
                <w:sz w:val="24"/>
              </w:rPr>
              <w:t>2</w:t>
            </w:r>
            <w:r w:rsidR="00217118">
              <w:rPr>
                <w:bCs/>
                <w:iCs/>
                <w:color w:val="000000"/>
                <w:sz w:val="24"/>
              </w:rPr>
              <w:t>1</w:t>
            </w:r>
            <w:r w:rsidR="007D43F8" w:rsidRPr="003B5CE8">
              <w:rPr>
                <w:bCs/>
                <w:iCs/>
                <w:color w:val="000000"/>
                <w:sz w:val="24"/>
              </w:rPr>
              <w:t>年</w:t>
            </w:r>
            <w:r w:rsidR="006D76A8">
              <w:rPr>
                <w:bCs/>
                <w:iCs/>
                <w:color w:val="000000"/>
                <w:sz w:val="24"/>
              </w:rPr>
              <w:t>4</w:t>
            </w:r>
            <w:r w:rsidR="0016375B" w:rsidRPr="003B5CE8">
              <w:rPr>
                <w:bCs/>
                <w:iCs/>
                <w:color w:val="000000"/>
                <w:sz w:val="24"/>
              </w:rPr>
              <w:t>月</w:t>
            </w:r>
            <w:r w:rsidR="006D76A8">
              <w:rPr>
                <w:bCs/>
                <w:iCs/>
                <w:color w:val="000000"/>
                <w:sz w:val="24"/>
              </w:rPr>
              <w:t>15</w:t>
            </w:r>
            <w:r w:rsidR="0016375B" w:rsidRPr="003B5CE8">
              <w:rPr>
                <w:bCs/>
                <w:iCs/>
                <w:color w:val="000000"/>
                <w:sz w:val="24"/>
              </w:rPr>
              <w:t>日</w:t>
            </w:r>
            <w:r w:rsidR="00F13698" w:rsidRPr="003B5CE8">
              <w:rPr>
                <w:bCs/>
                <w:iCs/>
                <w:color w:val="000000"/>
                <w:sz w:val="24"/>
              </w:rPr>
              <w:t>1</w:t>
            </w:r>
            <w:r w:rsidR="006D76A8">
              <w:rPr>
                <w:bCs/>
                <w:iCs/>
                <w:color w:val="000000"/>
                <w:sz w:val="24"/>
              </w:rPr>
              <w:t>5</w:t>
            </w:r>
            <w:r w:rsidR="0016375B" w:rsidRPr="003B5CE8">
              <w:rPr>
                <w:bCs/>
                <w:iCs/>
                <w:color w:val="000000"/>
                <w:sz w:val="24"/>
              </w:rPr>
              <w:t>:</w:t>
            </w:r>
            <w:r w:rsidR="006D76A8">
              <w:rPr>
                <w:bCs/>
                <w:iCs/>
                <w:color w:val="000000"/>
                <w:sz w:val="24"/>
              </w:rPr>
              <w:t>0</w:t>
            </w:r>
            <w:r w:rsidR="0016375B" w:rsidRPr="003B5CE8">
              <w:rPr>
                <w:bCs/>
                <w:iCs/>
                <w:color w:val="000000"/>
                <w:sz w:val="24"/>
              </w:rPr>
              <w:t>0</w:t>
            </w:r>
            <w:r w:rsidR="005B3B36" w:rsidRPr="003B5CE8">
              <w:rPr>
                <w:bCs/>
                <w:iCs/>
                <w:color w:val="000000"/>
                <w:sz w:val="24"/>
              </w:rPr>
              <w:t>-1</w:t>
            </w:r>
            <w:r w:rsidR="006D76A8">
              <w:rPr>
                <w:bCs/>
                <w:iCs/>
                <w:color w:val="000000"/>
                <w:sz w:val="24"/>
              </w:rPr>
              <w:t>7</w:t>
            </w:r>
            <w:r w:rsidR="005B3B36" w:rsidRPr="003B5CE8">
              <w:rPr>
                <w:bCs/>
                <w:iCs/>
                <w:color w:val="000000"/>
                <w:sz w:val="24"/>
              </w:rPr>
              <w:t>:</w:t>
            </w:r>
            <w:r w:rsidR="006D76A8">
              <w:rPr>
                <w:bCs/>
                <w:iCs/>
                <w:color w:val="000000"/>
                <w:sz w:val="24"/>
              </w:rPr>
              <w:t>0</w:t>
            </w:r>
            <w:r w:rsidR="005B3B36" w:rsidRPr="003B5CE8">
              <w:rPr>
                <w:bCs/>
                <w:iCs/>
                <w:color w:val="000000"/>
                <w:sz w:val="24"/>
              </w:rPr>
              <w:t>0</w:t>
            </w:r>
          </w:p>
        </w:tc>
      </w:tr>
      <w:tr w:rsidR="0016375B" w:rsidRPr="003B5CE8" w14:paraId="24C97D40" w14:textId="77777777">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3C730E57" w14:textId="77777777" w:rsidR="0016375B" w:rsidRPr="003B5CE8" w:rsidRDefault="0016375B">
            <w:pPr>
              <w:spacing w:line="360" w:lineRule="auto"/>
              <w:jc w:val="center"/>
              <w:rPr>
                <w:bCs/>
                <w:iCs/>
                <w:color w:val="000000"/>
                <w:sz w:val="24"/>
              </w:rPr>
            </w:pPr>
            <w:r w:rsidRPr="003B5CE8">
              <w:rPr>
                <w:bCs/>
                <w:iCs/>
                <w:color w:val="000000"/>
                <w:sz w:val="24"/>
              </w:rPr>
              <w:t>地</w:t>
            </w:r>
            <w:r w:rsidRPr="003B5CE8">
              <w:rPr>
                <w:bCs/>
                <w:iCs/>
                <w:color w:val="000000"/>
                <w:sz w:val="24"/>
              </w:rPr>
              <w:t xml:space="preserve">  </w:t>
            </w:r>
            <w:r w:rsidRPr="003B5CE8">
              <w:rPr>
                <w:bCs/>
                <w:iCs/>
                <w:color w:val="000000"/>
                <w:sz w:val="24"/>
              </w:rPr>
              <w:t>点</w:t>
            </w:r>
          </w:p>
        </w:tc>
        <w:tc>
          <w:tcPr>
            <w:tcW w:w="7786" w:type="dxa"/>
            <w:tcBorders>
              <w:top w:val="single" w:sz="4" w:space="0" w:color="auto"/>
              <w:left w:val="single" w:sz="4" w:space="0" w:color="auto"/>
              <w:bottom w:val="single" w:sz="4" w:space="0" w:color="auto"/>
              <w:right w:val="single" w:sz="4" w:space="0" w:color="auto"/>
            </w:tcBorders>
            <w:vAlign w:val="center"/>
          </w:tcPr>
          <w:p w14:paraId="24F9F8C6" w14:textId="77777777" w:rsidR="0016375B" w:rsidRPr="003B5CE8" w:rsidRDefault="00B954F9">
            <w:pPr>
              <w:spacing w:line="360" w:lineRule="auto"/>
              <w:rPr>
                <w:rFonts w:eastAsia="仿宋_GB2312"/>
                <w:sz w:val="24"/>
                <w:szCs w:val="21"/>
              </w:rPr>
            </w:pPr>
            <w:r w:rsidRPr="003B5CE8">
              <w:rPr>
                <w:sz w:val="24"/>
              </w:rPr>
              <w:t>公司</w:t>
            </w:r>
            <w:r w:rsidR="00D8617D" w:rsidRPr="003B5CE8">
              <w:rPr>
                <w:sz w:val="24"/>
              </w:rPr>
              <w:t>会议室</w:t>
            </w:r>
          </w:p>
        </w:tc>
      </w:tr>
      <w:tr w:rsidR="0016375B" w:rsidRPr="003B5CE8" w14:paraId="1DDB4163" w14:textId="77777777">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60D6D85D" w14:textId="77777777" w:rsidR="0016375B" w:rsidRPr="003B5CE8" w:rsidRDefault="0016375B">
            <w:pPr>
              <w:spacing w:line="360" w:lineRule="auto"/>
              <w:jc w:val="center"/>
              <w:rPr>
                <w:bCs/>
                <w:iCs/>
                <w:color w:val="000000"/>
                <w:sz w:val="24"/>
              </w:rPr>
            </w:pPr>
            <w:r w:rsidRPr="003B5CE8">
              <w:rPr>
                <w:bCs/>
                <w:iCs/>
                <w:color w:val="000000"/>
                <w:sz w:val="24"/>
              </w:rPr>
              <w:t>上市公司接待人员姓名</w:t>
            </w:r>
          </w:p>
        </w:tc>
        <w:tc>
          <w:tcPr>
            <w:tcW w:w="7786" w:type="dxa"/>
            <w:tcBorders>
              <w:top w:val="single" w:sz="4" w:space="0" w:color="auto"/>
              <w:left w:val="single" w:sz="4" w:space="0" w:color="auto"/>
              <w:bottom w:val="single" w:sz="4" w:space="0" w:color="auto"/>
              <w:right w:val="single" w:sz="4" w:space="0" w:color="auto"/>
            </w:tcBorders>
            <w:vAlign w:val="center"/>
          </w:tcPr>
          <w:p w14:paraId="2D375901" w14:textId="74E411F4" w:rsidR="005B3B36" w:rsidRPr="003B5CE8" w:rsidRDefault="006D76A8" w:rsidP="00B84DF1">
            <w:pPr>
              <w:spacing w:line="360" w:lineRule="auto"/>
              <w:rPr>
                <w:bCs/>
                <w:iCs/>
                <w:color w:val="000000"/>
                <w:sz w:val="24"/>
              </w:rPr>
            </w:pPr>
            <w:r w:rsidRPr="006D76A8">
              <w:rPr>
                <w:rFonts w:hint="eastAsia"/>
                <w:bCs/>
                <w:iCs/>
                <w:color w:val="000000"/>
                <w:sz w:val="24"/>
              </w:rPr>
              <w:t>董事长、首席执行官</w:t>
            </w:r>
            <w:r w:rsidRPr="006D76A8">
              <w:rPr>
                <w:rFonts w:hint="eastAsia"/>
                <w:bCs/>
                <w:iCs/>
                <w:color w:val="000000"/>
                <w:sz w:val="24"/>
              </w:rPr>
              <w:t>Boliang Lou</w:t>
            </w:r>
            <w:r w:rsidR="00217118">
              <w:rPr>
                <w:rFonts w:hint="eastAsia"/>
                <w:bCs/>
                <w:iCs/>
                <w:color w:val="000000"/>
                <w:sz w:val="24"/>
              </w:rPr>
              <w:t>先生</w:t>
            </w:r>
          </w:p>
          <w:p w14:paraId="2EFEAFB4" w14:textId="77777777" w:rsidR="005B3B36" w:rsidRDefault="00B954F9" w:rsidP="00B84DF1">
            <w:pPr>
              <w:spacing w:line="360" w:lineRule="auto"/>
              <w:rPr>
                <w:bCs/>
                <w:iCs/>
                <w:color w:val="000000"/>
                <w:sz w:val="24"/>
              </w:rPr>
            </w:pPr>
            <w:r w:rsidRPr="003B5CE8">
              <w:rPr>
                <w:bCs/>
                <w:iCs/>
                <w:color w:val="000000"/>
                <w:sz w:val="24"/>
              </w:rPr>
              <w:t>首席财务官、</w:t>
            </w:r>
            <w:r w:rsidR="0016375B" w:rsidRPr="003B5CE8">
              <w:rPr>
                <w:bCs/>
                <w:iCs/>
                <w:color w:val="000000"/>
                <w:sz w:val="24"/>
              </w:rPr>
              <w:t>董事会秘书</w:t>
            </w:r>
            <w:r w:rsidR="005B3B36" w:rsidRPr="003B5CE8">
              <w:rPr>
                <w:bCs/>
                <w:iCs/>
                <w:color w:val="000000"/>
                <w:sz w:val="24"/>
              </w:rPr>
              <w:t>李承宗</w:t>
            </w:r>
            <w:r w:rsidR="00217118">
              <w:rPr>
                <w:rFonts w:hint="eastAsia"/>
                <w:bCs/>
                <w:iCs/>
                <w:color w:val="000000"/>
                <w:sz w:val="24"/>
              </w:rPr>
              <w:t>先生</w:t>
            </w:r>
          </w:p>
          <w:p w14:paraId="6D9E88C3" w14:textId="77777777" w:rsidR="006D76A8" w:rsidRDefault="006D76A8" w:rsidP="00B84DF1">
            <w:pPr>
              <w:spacing w:line="360" w:lineRule="auto"/>
              <w:rPr>
                <w:bCs/>
                <w:iCs/>
                <w:color w:val="000000"/>
                <w:sz w:val="24"/>
              </w:rPr>
            </w:pPr>
            <w:r>
              <w:rPr>
                <w:rFonts w:hint="eastAsia"/>
                <w:bCs/>
                <w:iCs/>
                <w:color w:val="000000"/>
                <w:sz w:val="24"/>
              </w:rPr>
              <w:t>独立董事余坚先生</w:t>
            </w:r>
          </w:p>
          <w:p w14:paraId="3F5E4073" w14:textId="601B126C" w:rsidR="006D76A8" w:rsidRPr="003B5CE8" w:rsidRDefault="006D76A8" w:rsidP="00B84DF1">
            <w:pPr>
              <w:spacing w:line="360" w:lineRule="auto"/>
              <w:rPr>
                <w:bCs/>
                <w:iCs/>
                <w:color w:val="000000"/>
                <w:sz w:val="24"/>
              </w:rPr>
            </w:pPr>
            <w:r>
              <w:rPr>
                <w:rFonts w:hint="eastAsia"/>
                <w:bCs/>
                <w:iCs/>
                <w:color w:val="000000"/>
                <w:sz w:val="24"/>
              </w:rPr>
              <w:t>保荐代表人郑睿先生</w:t>
            </w:r>
          </w:p>
        </w:tc>
      </w:tr>
      <w:tr w:rsidR="0016375B" w:rsidRPr="003B5CE8" w14:paraId="4B7299EE" w14:textId="77777777">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7F6842FC" w14:textId="77777777" w:rsidR="0016375B" w:rsidRPr="003B5CE8" w:rsidRDefault="0016375B">
            <w:pPr>
              <w:spacing w:line="360" w:lineRule="auto"/>
              <w:jc w:val="center"/>
              <w:rPr>
                <w:bCs/>
                <w:iCs/>
                <w:color w:val="000000"/>
                <w:sz w:val="24"/>
              </w:rPr>
            </w:pPr>
            <w:r w:rsidRPr="003B5CE8">
              <w:rPr>
                <w:bCs/>
                <w:iCs/>
                <w:color w:val="000000"/>
                <w:sz w:val="24"/>
              </w:rPr>
              <w:t>投资者关系活动主要内容介绍</w:t>
            </w:r>
          </w:p>
          <w:p w14:paraId="5DDEBD73" w14:textId="77777777" w:rsidR="0016375B" w:rsidRPr="003B5CE8" w:rsidRDefault="0016375B">
            <w:pPr>
              <w:spacing w:line="360" w:lineRule="auto"/>
              <w:jc w:val="center"/>
              <w:rPr>
                <w:bCs/>
                <w:iCs/>
                <w:color w:val="000000"/>
                <w:sz w:val="24"/>
              </w:rPr>
            </w:pPr>
          </w:p>
        </w:tc>
        <w:tc>
          <w:tcPr>
            <w:tcW w:w="7786" w:type="dxa"/>
            <w:tcBorders>
              <w:top w:val="single" w:sz="4" w:space="0" w:color="auto"/>
              <w:left w:val="single" w:sz="4" w:space="0" w:color="auto"/>
              <w:bottom w:val="single" w:sz="4" w:space="0" w:color="auto"/>
              <w:right w:val="single" w:sz="4" w:space="0" w:color="auto"/>
            </w:tcBorders>
            <w:vAlign w:val="center"/>
          </w:tcPr>
          <w:p w14:paraId="4192D249" w14:textId="72A9104C" w:rsidR="00C41B87" w:rsidRPr="003B5CE8" w:rsidRDefault="00C41B87" w:rsidP="00C41B87">
            <w:pPr>
              <w:spacing w:line="360" w:lineRule="auto"/>
              <w:rPr>
                <w:b/>
                <w:sz w:val="24"/>
              </w:rPr>
            </w:pPr>
            <w:r w:rsidRPr="003B5CE8">
              <w:rPr>
                <w:b/>
                <w:sz w:val="24"/>
              </w:rPr>
              <w:t>问：</w:t>
            </w:r>
            <w:r w:rsidR="008E49CE" w:rsidRPr="008E49CE">
              <w:rPr>
                <w:rFonts w:hint="eastAsia"/>
                <w:b/>
                <w:sz w:val="24"/>
              </w:rPr>
              <w:t>请问大分子实验室主要有哪些服务？</w:t>
            </w:r>
          </w:p>
          <w:p w14:paraId="389A0AC5" w14:textId="32A24D94" w:rsidR="00C41B87" w:rsidRPr="003B5CE8" w:rsidRDefault="00C41B87" w:rsidP="00C41B87">
            <w:pPr>
              <w:spacing w:line="360" w:lineRule="auto"/>
              <w:rPr>
                <w:bCs/>
                <w:sz w:val="24"/>
              </w:rPr>
            </w:pPr>
            <w:r w:rsidRPr="003B5CE8">
              <w:rPr>
                <w:bCs/>
                <w:sz w:val="24"/>
              </w:rPr>
              <w:t>答：</w:t>
            </w:r>
            <w:r w:rsidR="008E49CE" w:rsidRPr="008E49CE">
              <w:rPr>
                <w:rFonts w:hint="eastAsia"/>
                <w:bCs/>
                <w:sz w:val="24"/>
              </w:rPr>
              <w:t>投资者您好，公司大分子业务主要包括大分子药物发现、细胞与基因疗法的药品评估。公司将加快大分子药物及细胞和基因疗法产品等研发服务能力的建设，通过</w:t>
            </w:r>
            <w:r w:rsidR="008E49CE" w:rsidRPr="008E49CE">
              <w:rPr>
                <w:rFonts w:hint="eastAsia"/>
                <w:bCs/>
                <w:sz w:val="24"/>
              </w:rPr>
              <w:t>Absorption Systems LLC</w:t>
            </w:r>
            <w:r w:rsidR="008E49CE" w:rsidRPr="008E49CE">
              <w:rPr>
                <w:rFonts w:hint="eastAsia"/>
                <w:bCs/>
                <w:sz w:val="24"/>
              </w:rPr>
              <w:t>在细胞和基因疗法新兴领域一流的药品评估能力，着手布局细胞和基因疗法服务的大平台；公司在</w:t>
            </w:r>
            <w:r w:rsidR="008E49CE" w:rsidRPr="008E49CE">
              <w:rPr>
                <w:rFonts w:hint="eastAsia"/>
                <w:bCs/>
                <w:sz w:val="24"/>
              </w:rPr>
              <w:t>2021</w:t>
            </w:r>
            <w:r w:rsidR="008E49CE" w:rsidRPr="008E49CE">
              <w:rPr>
                <w:rFonts w:hint="eastAsia"/>
                <w:bCs/>
                <w:sz w:val="24"/>
              </w:rPr>
              <w:t>年</w:t>
            </w:r>
            <w:r w:rsidR="008E49CE" w:rsidRPr="008E49CE">
              <w:rPr>
                <w:rFonts w:hint="eastAsia"/>
                <w:bCs/>
                <w:sz w:val="24"/>
              </w:rPr>
              <w:t>2</w:t>
            </w:r>
            <w:r w:rsidR="008E49CE" w:rsidRPr="008E49CE">
              <w:rPr>
                <w:rFonts w:hint="eastAsia"/>
                <w:bCs/>
                <w:sz w:val="24"/>
              </w:rPr>
              <w:t>月与艾伯维公司签订正式协议收购其旗下位于英国利物浦的</w:t>
            </w:r>
            <w:r w:rsidR="008E49CE" w:rsidRPr="008E49CE">
              <w:rPr>
                <w:rFonts w:hint="eastAsia"/>
                <w:bCs/>
                <w:sz w:val="24"/>
              </w:rPr>
              <w:t>Allergan Biologics Limited</w:t>
            </w:r>
            <w:r w:rsidR="008E49CE" w:rsidRPr="008E49CE">
              <w:rPr>
                <w:rFonts w:hint="eastAsia"/>
                <w:bCs/>
                <w:sz w:val="24"/>
              </w:rPr>
              <w:t>，以建立细胞和基因产品的</w:t>
            </w:r>
            <w:r w:rsidR="008E49CE" w:rsidRPr="008E49CE">
              <w:rPr>
                <w:rFonts w:hint="eastAsia"/>
                <w:bCs/>
                <w:sz w:val="24"/>
              </w:rPr>
              <w:t>CDMO</w:t>
            </w:r>
            <w:r w:rsidR="008E49CE" w:rsidRPr="008E49CE">
              <w:rPr>
                <w:rFonts w:hint="eastAsia"/>
                <w:bCs/>
                <w:sz w:val="24"/>
              </w:rPr>
              <w:t>服务，从而更好的满足客户需求。感谢您对公司的关注。</w:t>
            </w:r>
          </w:p>
          <w:p w14:paraId="089BEFA7" w14:textId="77777777" w:rsidR="00C41B87" w:rsidRPr="00CC2ADB" w:rsidRDefault="00C41B87" w:rsidP="00C41B87">
            <w:pPr>
              <w:spacing w:line="360" w:lineRule="auto"/>
              <w:rPr>
                <w:bCs/>
                <w:sz w:val="24"/>
              </w:rPr>
            </w:pPr>
          </w:p>
          <w:p w14:paraId="56CC7872" w14:textId="7EDC8E8C" w:rsidR="001D4D8B" w:rsidRPr="003B5CE8" w:rsidRDefault="001D4D8B" w:rsidP="001D4D8B">
            <w:pPr>
              <w:spacing w:line="360" w:lineRule="auto"/>
              <w:rPr>
                <w:b/>
                <w:sz w:val="24"/>
              </w:rPr>
            </w:pPr>
            <w:r w:rsidRPr="003B5CE8">
              <w:rPr>
                <w:b/>
                <w:sz w:val="24"/>
              </w:rPr>
              <w:t>问：</w:t>
            </w:r>
            <w:r w:rsidR="008E49CE" w:rsidRPr="008E49CE">
              <w:rPr>
                <w:rFonts w:hint="eastAsia"/>
                <w:b/>
                <w:sz w:val="24"/>
              </w:rPr>
              <w:t>公司是否在考虑开拓新的领域？取得初步进展没有？</w:t>
            </w:r>
          </w:p>
          <w:p w14:paraId="7D359902" w14:textId="54E58CEE" w:rsidR="001D4D8B" w:rsidRPr="003B5CE8" w:rsidRDefault="001D4D8B" w:rsidP="001D4D8B">
            <w:pPr>
              <w:spacing w:line="360" w:lineRule="auto"/>
              <w:rPr>
                <w:bCs/>
                <w:sz w:val="24"/>
              </w:rPr>
            </w:pPr>
            <w:r w:rsidRPr="003B5CE8">
              <w:rPr>
                <w:bCs/>
                <w:sz w:val="24"/>
              </w:rPr>
              <w:t>答：</w:t>
            </w:r>
            <w:r w:rsidR="008E49CE" w:rsidRPr="008E49CE">
              <w:rPr>
                <w:rFonts w:hint="eastAsia"/>
                <w:bCs/>
                <w:sz w:val="24"/>
              </w:rPr>
              <w:t>投资者您好，感谢您的关注。公司将加快大分子药物及细胞和基因疗</w:t>
            </w:r>
            <w:r w:rsidR="008E49CE" w:rsidRPr="008E49CE">
              <w:rPr>
                <w:rFonts w:hint="eastAsia"/>
                <w:bCs/>
                <w:sz w:val="24"/>
              </w:rPr>
              <w:lastRenderedPageBreak/>
              <w:t>法产品等研发服务能力的建设，通过</w:t>
            </w:r>
            <w:r w:rsidR="008E49CE" w:rsidRPr="008E49CE">
              <w:rPr>
                <w:rFonts w:hint="eastAsia"/>
                <w:bCs/>
                <w:sz w:val="24"/>
              </w:rPr>
              <w:t>Absorption Systems LLC</w:t>
            </w:r>
            <w:r w:rsidR="008E49CE" w:rsidRPr="008E49CE">
              <w:rPr>
                <w:rFonts w:hint="eastAsia"/>
                <w:bCs/>
                <w:sz w:val="24"/>
              </w:rPr>
              <w:t>在细胞和基因疗法新兴领域一流的药品评估能力，着手布局细胞和基因疗法服务的大平台；公司在</w:t>
            </w:r>
            <w:r w:rsidR="008E49CE" w:rsidRPr="008E49CE">
              <w:rPr>
                <w:rFonts w:hint="eastAsia"/>
                <w:bCs/>
                <w:sz w:val="24"/>
              </w:rPr>
              <w:t>2021</w:t>
            </w:r>
            <w:r w:rsidR="008E49CE" w:rsidRPr="008E49CE">
              <w:rPr>
                <w:rFonts w:hint="eastAsia"/>
                <w:bCs/>
                <w:sz w:val="24"/>
              </w:rPr>
              <w:t>年</w:t>
            </w:r>
            <w:r w:rsidR="008E49CE" w:rsidRPr="008E49CE">
              <w:rPr>
                <w:rFonts w:hint="eastAsia"/>
                <w:bCs/>
                <w:sz w:val="24"/>
              </w:rPr>
              <w:t>2</w:t>
            </w:r>
            <w:r w:rsidR="008E49CE" w:rsidRPr="008E49CE">
              <w:rPr>
                <w:rFonts w:hint="eastAsia"/>
                <w:bCs/>
                <w:sz w:val="24"/>
              </w:rPr>
              <w:t>月与艾伯维公司签订正式协议收购其旗下位于英国利物浦的</w:t>
            </w:r>
            <w:r w:rsidR="008E49CE" w:rsidRPr="008E49CE">
              <w:rPr>
                <w:rFonts w:hint="eastAsia"/>
                <w:bCs/>
                <w:sz w:val="24"/>
              </w:rPr>
              <w:t>Allergan Biologics Limited</w:t>
            </w:r>
            <w:r w:rsidR="008E49CE" w:rsidRPr="008E49CE">
              <w:rPr>
                <w:rFonts w:hint="eastAsia"/>
                <w:bCs/>
                <w:sz w:val="24"/>
              </w:rPr>
              <w:t>，以建立细胞和基因产品的</w:t>
            </w:r>
            <w:r w:rsidR="008E49CE" w:rsidRPr="008E49CE">
              <w:rPr>
                <w:rFonts w:hint="eastAsia"/>
                <w:bCs/>
                <w:sz w:val="24"/>
              </w:rPr>
              <w:t>CDMO</w:t>
            </w:r>
            <w:r w:rsidR="008E49CE" w:rsidRPr="008E49CE">
              <w:rPr>
                <w:rFonts w:hint="eastAsia"/>
                <w:bCs/>
                <w:sz w:val="24"/>
              </w:rPr>
              <w:t>服务，从而更好的满足客户需求。</w:t>
            </w:r>
          </w:p>
          <w:p w14:paraId="0C3BDBA3" w14:textId="77777777" w:rsidR="001D4D8B" w:rsidRPr="00CC2ADB" w:rsidRDefault="001D4D8B" w:rsidP="001D4D8B">
            <w:pPr>
              <w:spacing w:line="360" w:lineRule="auto"/>
              <w:rPr>
                <w:bCs/>
                <w:sz w:val="24"/>
              </w:rPr>
            </w:pPr>
          </w:p>
          <w:p w14:paraId="15617E2D" w14:textId="5768C309" w:rsidR="008E49CE" w:rsidRPr="003B5CE8" w:rsidRDefault="008E49CE" w:rsidP="008E49CE">
            <w:pPr>
              <w:spacing w:line="360" w:lineRule="auto"/>
              <w:rPr>
                <w:b/>
                <w:sz w:val="24"/>
              </w:rPr>
            </w:pPr>
            <w:r w:rsidRPr="003B5CE8">
              <w:rPr>
                <w:b/>
                <w:sz w:val="24"/>
              </w:rPr>
              <w:t>问：</w:t>
            </w:r>
            <w:r w:rsidRPr="008E49CE">
              <w:rPr>
                <w:rFonts w:hint="eastAsia"/>
                <w:b/>
                <w:sz w:val="24"/>
              </w:rPr>
              <w:t>康龙化成（绍兴）何时能试车运行？</w:t>
            </w:r>
          </w:p>
          <w:p w14:paraId="58323B32" w14:textId="3F0DEC93" w:rsidR="008E49CE" w:rsidRPr="003B5CE8" w:rsidRDefault="008E49CE" w:rsidP="008E49CE">
            <w:pPr>
              <w:spacing w:line="360" w:lineRule="auto"/>
              <w:rPr>
                <w:bCs/>
                <w:sz w:val="24"/>
              </w:rPr>
            </w:pPr>
            <w:r w:rsidRPr="003B5CE8">
              <w:rPr>
                <w:bCs/>
                <w:sz w:val="24"/>
              </w:rPr>
              <w:t>答：</w:t>
            </w:r>
            <w:r w:rsidRPr="008E49CE">
              <w:rPr>
                <w:rFonts w:hint="eastAsia"/>
                <w:bCs/>
                <w:sz w:val="24"/>
              </w:rPr>
              <w:t>投资者您好，根据公司披露的</w:t>
            </w:r>
            <w:r w:rsidRPr="008E49CE">
              <w:rPr>
                <w:rFonts w:hint="eastAsia"/>
                <w:bCs/>
                <w:sz w:val="24"/>
              </w:rPr>
              <w:t>2020</w:t>
            </w:r>
            <w:r w:rsidRPr="008E49CE">
              <w:rPr>
                <w:rFonts w:hint="eastAsia"/>
                <w:bCs/>
                <w:sz w:val="24"/>
              </w:rPr>
              <w:t>年年报，绍兴工厂在</w:t>
            </w:r>
            <w:r w:rsidRPr="008E49CE">
              <w:rPr>
                <w:rFonts w:hint="eastAsia"/>
                <w:bCs/>
                <w:sz w:val="24"/>
              </w:rPr>
              <w:t>2020</w:t>
            </w:r>
            <w:r w:rsidRPr="008E49CE">
              <w:rPr>
                <w:rFonts w:hint="eastAsia"/>
                <w:bCs/>
                <w:sz w:val="24"/>
              </w:rPr>
              <w:t>年全速推进建设工作，项目完成后将增加化学反应</w:t>
            </w:r>
            <w:proofErr w:type="gramStart"/>
            <w:r w:rsidRPr="008E49CE">
              <w:rPr>
                <w:rFonts w:hint="eastAsia"/>
                <w:bCs/>
                <w:sz w:val="24"/>
              </w:rPr>
              <w:t>釜</w:t>
            </w:r>
            <w:proofErr w:type="gramEnd"/>
            <w:r w:rsidRPr="008E49CE">
              <w:rPr>
                <w:rFonts w:hint="eastAsia"/>
                <w:bCs/>
                <w:sz w:val="24"/>
              </w:rPr>
              <w:t>容量</w:t>
            </w:r>
            <w:r w:rsidRPr="008E49CE">
              <w:rPr>
                <w:rFonts w:hint="eastAsia"/>
                <w:bCs/>
                <w:sz w:val="24"/>
              </w:rPr>
              <w:t>600</w:t>
            </w:r>
            <w:r w:rsidRPr="008E49CE">
              <w:rPr>
                <w:rFonts w:hint="eastAsia"/>
                <w:bCs/>
                <w:sz w:val="24"/>
              </w:rPr>
              <w:t>立方米，其中</w:t>
            </w:r>
            <w:r w:rsidRPr="008E49CE">
              <w:rPr>
                <w:rFonts w:hint="eastAsia"/>
                <w:bCs/>
                <w:sz w:val="24"/>
              </w:rPr>
              <w:t>200</w:t>
            </w:r>
            <w:r w:rsidRPr="008E49CE">
              <w:rPr>
                <w:rFonts w:hint="eastAsia"/>
                <w:bCs/>
                <w:sz w:val="24"/>
              </w:rPr>
              <w:t>立方米预计在</w:t>
            </w:r>
            <w:r w:rsidRPr="008E49CE">
              <w:rPr>
                <w:rFonts w:hint="eastAsia"/>
                <w:bCs/>
                <w:sz w:val="24"/>
              </w:rPr>
              <w:t>2021</w:t>
            </w:r>
            <w:r w:rsidRPr="008E49CE">
              <w:rPr>
                <w:rFonts w:hint="eastAsia"/>
                <w:bCs/>
                <w:sz w:val="24"/>
              </w:rPr>
              <w:t>年下半年交付使用，余下的</w:t>
            </w:r>
            <w:r w:rsidRPr="008E49CE">
              <w:rPr>
                <w:rFonts w:hint="eastAsia"/>
                <w:bCs/>
                <w:sz w:val="24"/>
              </w:rPr>
              <w:t>400</w:t>
            </w:r>
            <w:r w:rsidRPr="008E49CE">
              <w:rPr>
                <w:rFonts w:hint="eastAsia"/>
                <w:bCs/>
                <w:sz w:val="24"/>
              </w:rPr>
              <w:t>立方米将于</w:t>
            </w:r>
            <w:r w:rsidRPr="008E49CE">
              <w:rPr>
                <w:rFonts w:hint="eastAsia"/>
                <w:bCs/>
                <w:sz w:val="24"/>
              </w:rPr>
              <w:t>2022</w:t>
            </w:r>
            <w:r w:rsidRPr="008E49CE">
              <w:rPr>
                <w:rFonts w:hint="eastAsia"/>
                <w:bCs/>
                <w:sz w:val="24"/>
              </w:rPr>
              <w:t>年完成并交付使用。感谢您的关注。</w:t>
            </w:r>
          </w:p>
          <w:p w14:paraId="1A15C582" w14:textId="77777777" w:rsidR="008E49CE" w:rsidRPr="00CC2ADB" w:rsidRDefault="008E49CE" w:rsidP="008E49CE">
            <w:pPr>
              <w:spacing w:line="360" w:lineRule="auto"/>
              <w:rPr>
                <w:bCs/>
                <w:sz w:val="24"/>
              </w:rPr>
            </w:pPr>
          </w:p>
          <w:p w14:paraId="5046C59F" w14:textId="3EEF0C75" w:rsidR="008E49CE" w:rsidRPr="003B5CE8" w:rsidRDefault="008E49CE" w:rsidP="008E49CE">
            <w:pPr>
              <w:spacing w:line="360" w:lineRule="auto"/>
              <w:rPr>
                <w:b/>
                <w:sz w:val="24"/>
              </w:rPr>
            </w:pPr>
            <w:r w:rsidRPr="003B5CE8">
              <w:rPr>
                <w:b/>
                <w:sz w:val="24"/>
              </w:rPr>
              <w:t>问：</w:t>
            </w:r>
            <w:r w:rsidRPr="008E49CE">
              <w:rPr>
                <w:rFonts w:hint="eastAsia"/>
                <w:b/>
                <w:sz w:val="24"/>
              </w:rPr>
              <w:t>请问公司大分子什么时候能产生业务，另外临床这块发展的怎么样？谢谢！</w:t>
            </w:r>
          </w:p>
          <w:p w14:paraId="461843D8" w14:textId="105D4144" w:rsidR="008E49CE" w:rsidRPr="003B5CE8" w:rsidRDefault="008E49CE" w:rsidP="008E49CE">
            <w:pPr>
              <w:spacing w:line="360" w:lineRule="auto"/>
              <w:rPr>
                <w:bCs/>
                <w:sz w:val="24"/>
              </w:rPr>
            </w:pPr>
            <w:r w:rsidRPr="003B5CE8">
              <w:rPr>
                <w:bCs/>
                <w:sz w:val="24"/>
              </w:rPr>
              <w:t>答：</w:t>
            </w:r>
            <w:r w:rsidRPr="008E49CE">
              <w:rPr>
                <w:rFonts w:hint="eastAsia"/>
                <w:bCs/>
                <w:sz w:val="24"/>
              </w:rPr>
              <w:t>投资者您好，感谢您的关注。公司大分子业务主要包括大分子药物发现、细胞与基因疗法的药品评估。公司将加快大分子药物及细胞和基因疗法产品等研发服务能力的建设，通过</w:t>
            </w:r>
            <w:r w:rsidRPr="008E49CE">
              <w:rPr>
                <w:rFonts w:hint="eastAsia"/>
                <w:bCs/>
                <w:sz w:val="24"/>
              </w:rPr>
              <w:t>Absorption Systems LLC</w:t>
            </w:r>
            <w:r w:rsidRPr="008E49CE">
              <w:rPr>
                <w:rFonts w:hint="eastAsia"/>
                <w:bCs/>
                <w:sz w:val="24"/>
              </w:rPr>
              <w:t>在细胞和基因疗法新兴领域一流的药品评估能力，着手布局细胞和基因疗法服务的大平台；公司在</w:t>
            </w:r>
            <w:r w:rsidRPr="008E49CE">
              <w:rPr>
                <w:rFonts w:hint="eastAsia"/>
                <w:bCs/>
                <w:sz w:val="24"/>
              </w:rPr>
              <w:t>2021</w:t>
            </w:r>
            <w:r w:rsidRPr="008E49CE">
              <w:rPr>
                <w:rFonts w:hint="eastAsia"/>
                <w:bCs/>
                <w:sz w:val="24"/>
              </w:rPr>
              <w:t>年</w:t>
            </w:r>
            <w:r w:rsidRPr="008E49CE">
              <w:rPr>
                <w:rFonts w:hint="eastAsia"/>
                <w:bCs/>
                <w:sz w:val="24"/>
              </w:rPr>
              <w:t>2</w:t>
            </w:r>
            <w:r w:rsidRPr="008E49CE">
              <w:rPr>
                <w:rFonts w:hint="eastAsia"/>
                <w:bCs/>
                <w:sz w:val="24"/>
              </w:rPr>
              <w:t>月与艾伯维公司签订正式协议收购其旗下位于英国利物浦的</w:t>
            </w:r>
            <w:r w:rsidRPr="008E49CE">
              <w:rPr>
                <w:rFonts w:hint="eastAsia"/>
                <w:bCs/>
                <w:sz w:val="24"/>
              </w:rPr>
              <w:t>Allergan Biologics Limited</w:t>
            </w:r>
            <w:r w:rsidRPr="008E49CE">
              <w:rPr>
                <w:rFonts w:hint="eastAsia"/>
                <w:bCs/>
                <w:sz w:val="24"/>
              </w:rPr>
              <w:t>，以建立细胞和基因产品的</w:t>
            </w:r>
            <w:r w:rsidRPr="008E49CE">
              <w:rPr>
                <w:rFonts w:hint="eastAsia"/>
                <w:bCs/>
                <w:sz w:val="24"/>
              </w:rPr>
              <w:t>CDMO</w:t>
            </w:r>
            <w:r w:rsidRPr="008E49CE">
              <w:rPr>
                <w:rFonts w:hint="eastAsia"/>
                <w:bCs/>
                <w:sz w:val="24"/>
              </w:rPr>
              <w:t>服务，从而更好的满足客户需求。公司的临床研究服务包括国外临床研究服务和国内临床研究服务。报告期内，虽然海外临床业务尤其是美国的一期临床中心受疫情的影响较大，但凭借着我们独特的“放射性同位素化合物合成</w:t>
            </w:r>
            <w:r w:rsidRPr="008E49CE">
              <w:rPr>
                <w:rFonts w:hint="eastAsia"/>
                <w:bCs/>
                <w:sz w:val="24"/>
              </w:rPr>
              <w:t>-</w:t>
            </w:r>
            <w:r w:rsidRPr="008E49CE">
              <w:rPr>
                <w:rFonts w:hint="eastAsia"/>
                <w:bCs/>
                <w:sz w:val="24"/>
              </w:rPr>
              <w:t>临床</w:t>
            </w:r>
            <w:r w:rsidRPr="008E49CE">
              <w:rPr>
                <w:rFonts w:hint="eastAsia"/>
                <w:bCs/>
                <w:sz w:val="24"/>
              </w:rPr>
              <w:t>-</w:t>
            </w:r>
            <w:r w:rsidRPr="008E49CE">
              <w:rPr>
                <w:rFonts w:hint="eastAsia"/>
                <w:bCs/>
                <w:sz w:val="24"/>
              </w:rPr>
              <w:t>分析”一体化服务平台，我们的海外临床研究服务取得稳健增长。国内临床研究服务方面，得益于中国政府有效迅速的控制疫情，国内临床研究服务在第二季度逐步全面恢复。报告期内，公司临床研究服务实现营业收入</w:t>
            </w:r>
            <w:r w:rsidRPr="008E49CE">
              <w:rPr>
                <w:rFonts w:hint="eastAsia"/>
                <w:bCs/>
                <w:sz w:val="24"/>
              </w:rPr>
              <w:t>62,934.98</w:t>
            </w:r>
            <w:r w:rsidRPr="008E49CE">
              <w:rPr>
                <w:rFonts w:hint="eastAsia"/>
                <w:bCs/>
                <w:sz w:val="24"/>
              </w:rPr>
              <w:t>万元，相比去年同期增长</w:t>
            </w:r>
            <w:r w:rsidRPr="008E49CE">
              <w:rPr>
                <w:rFonts w:hint="eastAsia"/>
                <w:bCs/>
                <w:sz w:val="24"/>
              </w:rPr>
              <w:t>37.94%</w:t>
            </w:r>
            <w:r w:rsidRPr="008E49CE">
              <w:rPr>
                <w:rFonts w:hint="eastAsia"/>
                <w:bCs/>
                <w:sz w:val="24"/>
              </w:rPr>
              <w:t>，实现毛利率</w:t>
            </w:r>
            <w:r w:rsidRPr="008E49CE">
              <w:rPr>
                <w:rFonts w:hint="eastAsia"/>
                <w:bCs/>
                <w:sz w:val="24"/>
              </w:rPr>
              <w:t>18.78%</w:t>
            </w:r>
            <w:r w:rsidRPr="008E49CE">
              <w:rPr>
                <w:rFonts w:hint="eastAsia"/>
                <w:bCs/>
                <w:sz w:val="24"/>
              </w:rPr>
              <w:t>。公司于</w:t>
            </w:r>
            <w:r w:rsidRPr="008E49CE">
              <w:rPr>
                <w:rFonts w:hint="eastAsia"/>
                <w:bCs/>
                <w:sz w:val="24"/>
              </w:rPr>
              <w:t>2020</w:t>
            </w:r>
            <w:r w:rsidRPr="008E49CE">
              <w:rPr>
                <w:rFonts w:hint="eastAsia"/>
                <w:bCs/>
                <w:sz w:val="24"/>
              </w:rPr>
              <w:t>年</w:t>
            </w:r>
            <w:r w:rsidRPr="008E49CE">
              <w:rPr>
                <w:rFonts w:hint="eastAsia"/>
                <w:bCs/>
                <w:sz w:val="24"/>
              </w:rPr>
              <w:t>6</w:t>
            </w:r>
            <w:r w:rsidRPr="008E49CE">
              <w:rPr>
                <w:rFonts w:hint="eastAsia"/>
                <w:bCs/>
                <w:sz w:val="24"/>
              </w:rPr>
              <w:t>月完成对</w:t>
            </w:r>
            <w:proofErr w:type="gramStart"/>
            <w:r w:rsidRPr="008E49CE">
              <w:rPr>
                <w:rFonts w:hint="eastAsia"/>
                <w:bCs/>
                <w:sz w:val="24"/>
              </w:rPr>
              <w:t>北京联斯达</w:t>
            </w:r>
            <w:proofErr w:type="gramEnd"/>
            <w:r w:rsidRPr="008E49CE">
              <w:rPr>
                <w:rFonts w:hint="eastAsia"/>
                <w:bCs/>
                <w:sz w:val="24"/>
              </w:rPr>
              <w:t>的并购，结合公司于</w:t>
            </w:r>
            <w:r w:rsidRPr="008E49CE">
              <w:rPr>
                <w:rFonts w:hint="eastAsia"/>
                <w:bCs/>
                <w:sz w:val="24"/>
              </w:rPr>
              <w:t>2019</w:t>
            </w:r>
            <w:r w:rsidRPr="008E49CE">
              <w:rPr>
                <w:rFonts w:hint="eastAsia"/>
                <w:bCs/>
                <w:sz w:val="24"/>
              </w:rPr>
              <w:t>年收购的南京希麦迪，打造了临床</w:t>
            </w:r>
            <w:r w:rsidRPr="008E49CE">
              <w:rPr>
                <w:rFonts w:hint="eastAsia"/>
                <w:bCs/>
                <w:sz w:val="24"/>
              </w:rPr>
              <w:t>CRO+ SMO</w:t>
            </w:r>
            <w:r w:rsidRPr="008E49CE">
              <w:rPr>
                <w:rFonts w:hint="eastAsia"/>
                <w:bCs/>
                <w:sz w:val="24"/>
              </w:rPr>
              <w:t>一体化服务平台。</w:t>
            </w:r>
          </w:p>
          <w:p w14:paraId="2BEFA291" w14:textId="77777777" w:rsidR="008E49CE" w:rsidRPr="00CC2ADB" w:rsidRDefault="008E49CE" w:rsidP="008E49CE">
            <w:pPr>
              <w:spacing w:line="360" w:lineRule="auto"/>
              <w:rPr>
                <w:bCs/>
                <w:sz w:val="24"/>
              </w:rPr>
            </w:pPr>
          </w:p>
          <w:p w14:paraId="233C5A23" w14:textId="799723C2" w:rsidR="008E49CE" w:rsidRPr="003B5CE8" w:rsidRDefault="008E49CE" w:rsidP="008E49CE">
            <w:pPr>
              <w:spacing w:line="360" w:lineRule="auto"/>
              <w:rPr>
                <w:b/>
                <w:sz w:val="24"/>
              </w:rPr>
            </w:pPr>
            <w:r w:rsidRPr="003B5CE8">
              <w:rPr>
                <w:b/>
                <w:sz w:val="24"/>
              </w:rPr>
              <w:lastRenderedPageBreak/>
              <w:t>问：</w:t>
            </w:r>
            <w:r w:rsidR="000C4BBB" w:rsidRPr="000C4BBB">
              <w:rPr>
                <w:rFonts w:hint="eastAsia"/>
                <w:b/>
                <w:sz w:val="24"/>
              </w:rPr>
              <w:t>请问公司，今年的银行贷款总额多少</w:t>
            </w:r>
            <w:r w:rsidR="000C4BBB" w:rsidRPr="000C4BBB">
              <w:rPr>
                <w:rFonts w:hint="eastAsia"/>
                <w:b/>
                <w:sz w:val="24"/>
              </w:rPr>
              <w:t>?</w:t>
            </w:r>
          </w:p>
          <w:p w14:paraId="5D5AB2CD" w14:textId="6CE15874" w:rsidR="008E49CE" w:rsidRPr="003B5CE8" w:rsidRDefault="008E49CE" w:rsidP="008E49CE">
            <w:pPr>
              <w:spacing w:line="360" w:lineRule="auto"/>
              <w:rPr>
                <w:bCs/>
                <w:sz w:val="24"/>
              </w:rPr>
            </w:pPr>
            <w:r w:rsidRPr="003B5CE8">
              <w:rPr>
                <w:bCs/>
                <w:sz w:val="24"/>
              </w:rPr>
              <w:t>答：</w:t>
            </w:r>
            <w:r w:rsidR="000C4BBB" w:rsidRPr="000C4BBB">
              <w:rPr>
                <w:rFonts w:hint="eastAsia"/>
                <w:bCs/>
                <w:sz w:val="24"/>
              </w:rPr>
              <w:t>投资人，您好！截止</w:t>
            </w:r>
            <w:r w:rsidR="000C4BBB" w:rsidRPr="000C4BBB">
              <w:rPr>
                <w:rFonts w:hint="eastAsia"/>
                <w:bCs/>
                <w:sz w:val="24"/>
              </w:rPr>
              <w:t>2020</w:t>
            </w:r>
            <w:r w:rsidR="000C4BBB" w:rsidRPr="000C4BBB">
              <w:rPr>
                <w:rFonts w:hint="eastAsia"/>
                <w:bCs/>
                <w:sz w:val="24"/>
              </w:rPr>
              <w:t>年</w:t>
            </w:r>
            <w:r w:rsidR="000C4BBB" w:rsidRPr="000C4BBB">
              <w:rPr>
                <w:rFonts w:hint="eastAsia"/>
                <w:bCs/>
                <w:sz w:val="24"/>
              </w:rPr>
              <w:t>12</w:t>
            </w:r>
            <w:r w:rsidR="000C4BBB" w:rsidRPr="000C4BBB">
              <w:rPr>
                <w:rFonts w:hint="eastAsia"/>
                <w:bCs/>
                <w:sz w:val="24"/>
              </w:rPr>
              <w:t>月</w:t>
            </w:r>
            <w:r w:rsidR="000C4BBB" w:rsidRPr="000C4BBB">
              <w:rPr>
                <w:rFonts w:hint="eastAsia"/>
                <w:bCs/>
                <w:sz w:val="24"/>
              </w:rPr>
              <w:t>31</w:t>
            </w:r>
            <w:r w:rsidR="000C4BBB" w:rsidRPr="000C4BBB">
              <w:rPr>
                <w:rFonts w:hint="eastAsia"/>
                <w:bCs/>
                <w:sz w:val="24"/>
              </w:rPr>
              <w:t>日，本集团长期借款（包括一年内到期）余额约合人民币</w:t>
            </w:r>
            <w:r w:rsidR="000C4BBB" w:rsidRPr="000C4BBB">
              <w:rPr>
                <w:rFonts w:hint="eastAsia"/>
                <w:bCs/>
                <w:sz w:val="24"/>
              </w:rPr>
              <w:t>4.04</w:t>
            </w:r>
            <w:r w:rsidR="000C4BBB" w:rsidRPr="000C4BBB">
              <w:rPr>
                <w:rFonts w:hint="eastAsia"/>
                <w:bCs/>
                <w:sz w:val="24"/>
              </w:rPr>
              <w:t>亿元，短期借款约合人民币</w:t>
            </w:r>
            <w:r w:rsidR="000C4BBB" w:rsidRPr="000C4BBB">
              <w:rPr>
                <w:rFonts w:hint="eastAsia"/>
                <w:bCs/>
                <w:sz w:val="24"/>
              </w:rPr>
              <w:t>3.77</w:t>
            </w:r>
            <w:r w:rsidR="000C4BBB" w:rsidRPr="000C4BBB">
              <w:rPr>
                <w:rFonts w:hint="eastAsia"/>
                <w:bCs/>
                <w:sz w:val="24"/>
              </w:rPr>
              <w:t>亿元。感谢您的关注。</w:t>
            </w:r>
          </w:p>
          <w:p w14:paraId="7B8A4440" w14:textId="77777777" w:rsidR="008E49CE" w:rsidRPr="00CC2ADB" w:rsidRDefault="008E49CE" w:rsidP="008E49CE">
            <w:pPr>
              <w:spacing w:line="360" w:lineRule="auto"/>
              <w:rPr>
                <w:bCs/>
                <w:sz w:val="24"/>
              </w:rPr>
            </w:pPr>
          </w:p>
          <w:p w14:paraId="02694D08" w14:textId="5FAD2620" w:rsidR="008E49CE" w:rsidRPr="003B5CE8" w:rsidRDefault="008E49CE" w:rsidP="008E49CE">
            <w:pPr>
              <w:spacing w:line="360" w:lineRule="auto"/>
              <w:rPr>
                <w:b/>
                <w:sz w:val="24"/>
              </w:rPr>
            </w:pPr>
            <w:r w:rsidRPr="003B5CE8">
              <w:rPr>
                <w:b/>
                <w:sz w:val="24"/>
              </w:rPr>
              <w:t>问：</w:t>
            </w:r>
            <w:r w:rsidR="000C4BBB" w:rsidRPr="000C4BBB">
              <w:rPr>
                <w:rFonts w:hint="eastAsia"/>
                <w:b/>
                <w:sz w:val="24"/>
              </w:rPr>
              <w:t>公司会有意参与市值管理吗？</w:t>
            </w:r>
          </w:p>
          <w:p w14:paraId="1CBCD019" w14:textId="6855CA40" w:rsidR="008E49CE" w:rsidRPr="003B5CE8" w:rsidRDefault="008E49CE" w:rsidP="008E49CE">
            <w:pPr>
              <w:spacing w:line="360" w:lineRule="auto"/>
              <w:rPr>
                <w:bCs/>
                <w:sz w:val="24"/>
              </w:rPr>
            </w:pPr>
            <w:r w:rsidRPr="003B5CE8">
              <w:rPr>
                <w:bCs/>
                <w:sz w:val="24"/>
              </w:rPr>
              <w:t>答：</w:t>
            </w:r>
            <w:r w:rsidR="000C4BBB" w:rsidRPr="000C4BBB">
              <w:rPr>
                <w:rFonts w:hint="eastAsia"/>
                <w:bCs/>
                <w:sz w:val="24"/>
              </w:rPr>
              <w:t>投资者您好，公司会一如既往踏实做好经营，提升核心竞争力，努力做</w:t>
            </w:r>
            <w:proofErr w:type="gramStart"/>
            <w:r w:rsidR="000C4BBB" w:rsidRPr="000C4BBB">
              <w:rPr>
                <w:rFonts w:hint="eastAsia"/>
                <w:bCs/>
                <w:sz w:val="24"/>
              </w:rPr>
              <w:t>强做</w:t>
            </w:r>
            <w:proofErr w:type="gramEnd"/>
            <w:r w:rsidR="000C4BBB" w:rsidRPr="000C4BBB">
              <w:rPr>
                <w:rFonts w:hint="eastAsia"/>
                <w:bCs/>
                <w:sz w:val="24"/>
              </w:rPr>
              <w:t>优做大，争取以更优良的业绩回报广大投资者。感谢您对公司的关注。</w:t>
            </w:r>
          </w:p>
          <w:p w14:paraId="12881EA9" w14:textId="77777777" w:rsidR="008E49CE" w:rsidRPr="00CC2ADB" w:rsidRDefault="008E49CE" w:rsidP="008E49CE">
            <w:pPr>
              <w:spacing w:line="360" w:lineRule="auto"/>
              <w:rPr>
                <w:bCs/>
                <w:sz w:val="24"/>
              </w:rPr>
            </w:pPr>
          </w:p>
          <w:p w14:paraId="0B0D0021" w14:textId="4025564E" w:rsidR="008E49CE" w:rsidRPr="003B5CE8" w:rsidRDefault="008E49CE" w:rsidP="008E49CE">
            <w:pPr>
              <w:spacing w:line="360" w:lineRule="auto"/>
              <w:rPr>
                <w:b/>
                <w:sz w:val="24"/>
              </w:rPr>
            </w:pPr>
            <w:r w:rsidRPr="003B5CE8">
              <w:rPr>
                <w:b/>
                <w:sz w:val="24"/>
              </w:rPr>
              <w:t>问：</w:t>
            </w:r>
            <w:r w:rsidR="000C4BBB" w:rsidRPr="000C4BBB">
              <w:rPr>
                <w:rFonts w:hint="eastAsia"/>
                <w:b/>
                <w:sz w:val="24"/>
              </w:rPr>
              <w:t>公司</w:t>
            </w:r>
            <w:proofErr w:type="gramStart"/>
            <w:r w:rsidR="000C4BBB" w:rsidRPr="000C4BBB">
              <w:rPr>
                <w:rFonts w:hint="eastAsia"/>
                <w:b/>
                <w:sz w:val="24"/>
              </w:rPr>
              <w:t>近年会</w:t>
            </w:r>
            <w:proofErr w:type="gramEnd"/>
            <w:r w:rsidR="000C4BBB" w:rsidRPr="000C4BBB">
              <w:rPr>
                <w:rFonts w:hint="eastAsia"/>
                <w:b/>
                <w:sz w:val="24"/>
              </w:rPr>
              <w:t>考虑转送股来扩股容吗？</w:t>
            </w:r>
          </w:p>
          <w:p w14:paraId="0CCAB773" w14:textId="622FFBED" w:rsidR="008E49CE" w:rsidRPr="003B5CE8" w:rsidRDefault="008E49CE" w:rsidP="008E49CE">
            <w:pPr>
              <w:spacing w:line="360" w:lineRule="auto"/>
              <w:rPr>
                <w:bCs/>
                <w:sz w:val="24"/>
              </w:rPr>
            </w:pPr>
            <w:r w:rsidRPr="003B5CE8">
              <w:rPr>
                <w:bCs/>
                <w:sz w:val="24"/>
              </w:rPr>
              <w:t>答：</w:t>
            </w:r>
            <w:r w:rsidR="000C4BBB" w:rsidRPr="000C4BBB">
              <w:rPr>
                <w:rFonts w:hint="eastAsia"/>
                <w:bCs/>
                <w:sz w:val="24"/>
              </w:rPr>
              <w:t>投资者您好，根据公司公告，</w:t>
            </w:r>
            <w:r w:rsidR="000C4BBB" w:rsidRPr="000C4BBB">
              <w:rPr>
                <w:rFonts w:hint="eastAsia"/>
                <w:bCs/>
                <w:sz w:val="24"/>
              </w:rPr>
              <w:t>2020</w:t>
            </w:r>
            <w:r w:rsidR="000C4BBB" w:rsidRPr="000C4BBB">
              <w:rPr>
                <w:rFonts w:hint="eastAsia"/>
                <w:bCs/>
                <w:sz w:val="24"/>
              </w:rPr>
              <w:t>年度利润分配预案如下：拟以公司现有总股本</w:t>
            </w:r>
            <w:r w:rsidR="000C4BBB" w:rsidRPr="000C4BBB">
              <w:rPr>
                <w:rFonts w:hint="eastAsia"/>
                <w:bCs/>
                <w:sz w:val="24"/>
              </w:rPr>
              <w:t>794,387,462</w:t>
            </w:r>
            <w:r w:rsidR="000C4BBB" w:rsidRPr="000C4BBB">
              <w:rPr>
                <w:rFonts w:hint="eastAsia"/>
                <w:bCs/>
                <w:sz w:val="24"/>
              </w:rPr>
              <w:t>股为基数，每</w:t>
            </w:r>
            <w:r w:rsidR="000C4BBB" w:rsidRPr="000C4BBB">
              <w:rPr>
                <w:rFonts w:hint="eastAsia"/>
                <w:bCs/>
                <w:sz w:val="24"/>
              </w:rPr>
              <w:t>10</w:t>
            </w:r>
            <w:r w:rsidR="000C4BBB" w:rsidRPr="000C4BBB">
              <w:rPr>
                <w:rFonts w:hint="eastAsia"/>
                <w:bCs/>
                <w:sz w:val="24"/>
              </w:rPr>
              <w:t>股派发现金红利</w:t>
            </w:r>
            <w:r w:rsidR="000C4BBB" w:rsidRPr="000C4BBB">
              <w:rPr>
                <w:rFonts w:hint="eastAsia"/>
                <w:bCs/>
                <w:sz w:val="24"/>
              </w:rPr>
              <w:t>3</w:t>
            </w:r>
            <w:r w:rsidR="000C4BBB" w:rsidRPr="000C4BBB">
              <w:rPr>
                <w:rFonts w:hint="eastAsia"/>
                <w:bCs/>
                <w:sz w:val="24"/>
              </w:rPr>
              <w:t>元（含税），预计分配现金股利</w:t>
            </w:r>
            <w:r w:rsidR="000C4BBB" w:rsidRPr="000C4BBB">
              <w:rPr>
                <w:rFonts w:hint="eastAsia"/>
                <w:bCs/>
                <w:sz w:val="24"/>
              </w:rPr>
              <w:t>238,316,238.60</w:t>
            </w:r>
            <w:r w:rsidR="000C4BBB" w:rsidRPr="000C4BBB">
              <w:rPr>
                <w:rFonts w:hint="eastAsia"/>
                <w:bCs/>
                <w:sz w:val="24"/>
              </w:rPr>
              <w:t>元（含税），剩余未分配利润结转以后年度分配，送红股</w:t>
            </w:r>
            <w:r w:rsidR="000C4BBB" w:rsidRPr="000C4BBB">
              <w:rPr>
                <w:rFonts w:hint="eastAsia"/>
                <w:bCs/>
                <w:sz w:val="24"/>
              </w:rPr>
              <w:t>0</w:t>
            </w:r>
            <w:r w:rsidR="000C4BBB" w:rsidRPr="000C4BBB">
              <w:rPr>
                <w:rFonts w:hint="eastAsia"/>
                <w:bCs/>
                <w:sz w:val="24"/>
              </w:rPr>
              <w:t>股，以资本公积向全体股东每</w:t>
            </w:r>
            <w:r w:rsidR="000C4BBB" w:rsidRPr="000C4BBB">
              <w:rPr>
                <w:rFonts w:hint="eastAsia"/>
                <w:bCs/>
                <w:sz w:val="24"/>
              </w:rPr>
              <w:t>10</w:t>
            </w:r>
            <w:r w:rsidR="000C4BBB" w:rsidRPr="000C4BBB">
              <w:rPr>
                <w:rFonts w:hint="eastAsia"/>
                <w:bCs/>
                <w:sz w:val="24"/>
              </w:rPr>
              <w:t>股转增</w:t>
            </w:r>
            <w:r w:rsidR="000C4BBB" w:rsidRPr="000C4BBB">
              <w:rPr>
                <w:rFonts w:hint="eastAsia"/>
                <w:bCs/>
                <w:sz w:val="24"/>
              </w:rPr>
              <w:t>0</w:t>
            </w:r>
            <w:r w:rsidR="000C4BBB" w:rsidRPr="000C4BBB">
              <w:rPr>
                <w:rFonts w:hint="eastAsia"/>
                <w:bCs/>
                <w:sz w:val="24"/>
              </w:rPr>
              <w:t>股。如在分配方案披露</w:t>
            </w:r>
            <w:proofErr w:type="gramStart"/>
            <w:r w:rsidR="000C4BBB" w:rsidRPr="000C4BBB">
              <w:rPr>
                <w:rFonts w:hint="eastAsia"/>
                <w:bCs/>
                <w:sz w:val="24"/>
              </w:rPr>
              <w:t>至实施</w:t>
            </w:r>
            <w:proofErr w:type="gramEnd"/>
            <w:r w:rsidR="000C4BBB" w:rsidRPr="000C4BBB">
              <w:rPr>
                <w:rFonts w:hint="eastAsia"/>
                <w:bCs/>
                <w:sz w:val="24"/>
              </w:rPr>
              <w:t>期间因新增股份上市、股权激励授予行权、股份回购等事项导致总股本发生变化的，则以未来实施分配方案的股权登记日的总股本为基数，按照分配比例不变的原则对分配总额进行调整。感谢您的关注。</w:t>
            </w:r>
          </w:p>
          <w:p w14:paraId="57EC78DD" w14:textId="77777777" w:rsidR="008E49CE" w:rsidRPr="00CC2ADB" w:rsidRDefault="008E49CE" w:rsidP="008E49CE">
            <w:pPr>
              <w:spacing w:line="360" w:lineRule="auto"/>
              <w:rPr>
                <w:bCs/>
                <w:sz w:val="24"/>
              </w:rPr>
            </w:pPr>
          </w:p>
          <w:p w14:paraId="25E59812" w14:textId="72B0CB92" w:rsidR="008E49CE" w:rsidRPr="003B5CE8" w:rsidRDefault="008E49CE" w:rsidP="008E49CE">
            <w:pPr>
              <w:spacing w:line="360" w:lineRule="auto"/>
              <w:rPr>
                <w:b/>
                <w:sz w:val="24"/>
              </w:rPr>
            </w:pPr>
            <w:r w:rsidRPr="003B5CE8">
              <w:rPr>
                <w:b/>
                <w:sz w:val="24"/>
              </w:rPr>
              <w:t>问：</w:t>
            </w:r>
            <w:r w:rsidR="000C4BBB" w:rsidRPr="000C4BBB">
              <w:rPr>
                <w:rFonts w:hint="eastAsia"/>
                <w:b/>
                <w:sz w:val="24"/>
              </w:rPr>
              <w:t>董事长好公司有没有在海南建厂的计划？谢谢</w:t>
            </w:r>
          </w:p>
          <w:p w14:paraId="10999E96" w14:textId="77777777" w:rsidR="002F4CA4" w:rsidRDefault="008E49CE" w:rsidP="000C4BBB">
            <w:pPr>
              <w:spacing w:line="360" w:lineRule="auto"/>
              <w:rPr>
                <w:bCs/>
                <w:sz w:val="24"/>
              </w:rPr>
            </w:pPr>
            <w:r w:rsidRPr="003B5CE8">
              <w:rPr>
                <w:bCs/>
                <w:sz w:val="24"/>
              </w:rPr>
              <w:t>答：</w:t>
            </w:r>
            <w:r w:rsidR="000C4BBB" w:rsidRPr="000C4BBB">
              <w:rPr>
                <w:rFonts w:hint="eastAsia"/>
                <w:bCs/>
                <w:sz w:val="24"/>
              </w:rPr>
              <w:t>投资者您好，感谢您的关注。公司基础设施建设请参见</w:t>
            </w:r>
            <w:r w:rsidR="000C4BBB" w:rsidRPr="000C4BBB">
              <w:rPr>
                <w:rFonts w:hint="eastAsia"/>
                <w:bCs/>
                <w:sz w:val="24"/>
              </w:rPr>
              <w:t>2020</w:t>
            </w:r>
            <w:r w:rsidR="000C4BBB" w:rsidRPr="000C4BBB">
              <w:rPr>
                <w:rFonts w:hint="eastAsia"/>
                <w:bCs/>
                <w:sz w:val="24"/>
              </w:rPr>
              <w:t>年度报告“第四节、一、（一）</w:t>
            </w:r>
            <w:r w:rsidR="000C4BBB" w:rsidRPr="000C4BBB">
              <w:rPr>
                <w:rFonts w:hint="eastAsia"/>
                <w:bCs/>
                <w:sz w:val="24"/>
              </w:rPr>
              <w:t>2</w:t>
            </w:r>
            <w:r w:rsidR="000C4BBB" w:rsidRPr="000C4BBB">
              <w:rPr>
                <w:rFonts w:hint="eastAsia"/>
                <w:bCs/>
                <w:sz w:val="24"/>
              </w:rPr>
              <w:t>、扩大产能”部分。</w:t>
            </w:r>
          </w:p>
          <w:p w14:paraId="05E72BE1" w14:textId="77777777" w:rsidR="000C4BBB" w:rsidRDefault="000C4BBB" w:rsidP="000C4BBB">
            <w:pPr>
              <w:spacing w:line="360" w:lineRule="auto"/>
              <w:rPr>
                <w:bCs/>
                <w:sz w:val="24"/>
              </w:rPr>
            </w:pPr>
          </w:p>
          <w:p w14:paraId="161F57A9" w14:textId="7A31832F" w:rsidR="000C4BBB" w:rsidRPr="008E49CE" w:rsidRDefault="000C4BBB" w:rsidP="000C4BBB">
            <w:pPr>
              <w:spacing w:line="360" w:lineRule="auto"/>
              <w:rPr>
                <w:bCs/>
                <w:sz w:val="24"/>
              </w:rPr>
            </w:pPr>
            <w:r>
              <w:rPr>
                <w:rFonts w:hint="eastAsia"/>
                <w:bCs/>
                <w:sz w:val="24"/>
              </w:rPr>
              <w:t>本次业绩说明会投资者共提出</w:t>
            </w:r>
            <w:r>
              <w:rPr>
                <w:rFonts w:hint="eastAsia"/>
                <w:bCs/>
                <w:sz w:val="24"/>
              </w:rPr>
              <w:t>4</w:t>
            </w:r>
            <w:r>
              <w:rPr>
                <w:bCs/>
                <w:sz w:val="24"/>
              </w:rPr>
              <w:t>2</w:t>
            </w:r>
            <w:r>
              <w:rPr>
                <w:rFonts w:hint="eastAsia"/>
                <w:bCs/>
                <w:sz w:val="24"/>
              </w:rPr>
              <w:t>个问题，问题汇总表详见本活动记录表附件。</w:t>
            </w:r>
          </w:p>
        </w:tc>
      </w:tr>
      <w:tr w:rsidR="0016375B" w:rsidRPr="003B5CE8" w14:paraId="7E4B75BE" w14:textId="77777777">
        <w:trPr>
          <w:jc w:val="center"/>
        </w:trPr>
        <w:tc>
          <w:tcPr>
            <w:tcW w:w="2068" w:type="dxa"/>
            <w:tcBorders>
              <w:top w:val="single" w:sz="4" w:space="0" w:color="auto"/>
              <w:left w:val="single" w:sz="4" w:space="0" w:color="auto"/>
              <w:bottom w:val="single" w:sz="4" w:space="0" w:color="auto"/>
              <w:right w:val="single" w:sz="4" w:space="0" w:color="auto"/>
            </w:tcBorders>
            <w:vAlign w:val="center"/>
          </w:tcPr>
          <w:p w14:paraId="068812E6" w14:textId="77777777" w:rsidR="0016375B" w:rsidRPr="003B5CE8" w:rsidRDefault="0016375B">
            <w:pPr>
              <w:spacing w:line="360" w:lineRule="auto"/>
              <w:jc w:val="center"/>
              <w:rPr>
                <w:bCs/>
                <w:iCs/>
                <w:color w:val="000000"/>
                <w:sz w:val="24"/>
              </w:rPr>
            </w:pPr>
            <w:r w:rsidRPr="003B5CE8">
              <w:rPr>
                <w:bCs/>
                <w:iCs/>
                <w:color w:val="000000"/>
                <w:sz w:val="24"/>
              </w:rPr>
              <w:lastRenderedPageBreak/>
              <w:t>附件清单（如有）</w:t>
            </w:r>
          </w:p>
        </w:tc>
        <w:tc>
          <w:tcPr>
            <w:tcW w:w="7786" w:type="dxa"/>
            <w:tcBorders>
              <w:top w:val="single" w:sz="4" w:space="0" w:color="auto"/>
              <w:left w:val="single" w:sz="4" w:space="0" w:color="auto"/>
              <w:bottom w:val="single" w:sz="4" w:space="0" w:color="auto"/>
              <w:right w:val="single" w:sz="4" w:space="0" w:color="auto"/>
            </w:tcBorders>
            <w:vAlign w:val="center"/>
          </w:tcPr>
          <w:p w14:paraId="2D49ABAA" w14:textId="713E7267" w:rsidR="00E461AC" w:rsidRPr="003B5CE8" w:rsidRDefault="000C4BBB">
            <w:pPr>
              <w:spacing w:line="360" w:lineRule="auto"/>
              <w:rPr>
                <w:bCs/>
                <w:iCs/>
                <w:color w:val="000000"/>
                <w:sz w:val="24"/>
              </w:rPr>
            </w:pPr>
            <w:r w:rsidRPr="000C4BBB">
              <w:rPr>
                <w:rFonts w:hint="eastAsia"/>
                <w:bCs/>
                <w:iCs/>
                <w:color w:val="000000"/>
                <w:sz w:val="24"/>
              </w:rPr>
              <w:t>2021</w:t>
            </w:r>
            <w:r w:rsidRPr="000C4BBB">
              <w:rPr>
                <w:rFonts w:hint="eastAsia"/>
                <w:bCs/>
                <w:iCs/>
                <w:color w:val="000000"/>
                <w:sz w:val="24"/>
              </w:rPr>
              <w:t>年</w:t>
            </w:r>
            <w:r w:rsidRPr="000C4BBB">
              <w:rPr>
                <w:rFonts w:hint="eastAsia"/>
                <w:bCs/>
                <w:iCs/>
                <w:color w:val="000000"/>
                <w:sz w:val="24"/>
              </w:rPr>
              <w:t>4</w:t>
            </w:r>
            <w:r w:rsidRPr="000C4BBB">
              <w:rPr>
                <w:rFonts w:hint="eastAsia"/>
                <w:bCs/>
                <w:iCs/>
                <w:color w:val="000000"/>
                <w:sz w:val="24"/>
              </w:rPr>
              <w:t>月</w:t>
            </w:r>
            <w:r w:rsidRPr="000C4BBB">
              <w:rPr>
                <w:rFonts w:hint="eastAsia"/>
                <w:bCs/>
                <w:iCs/>
                <w:color w:val="000000"/>
                <w:sz w:val="24"/>
              </w:rPr>
              <w:t>15</w:t>
            </w:r>
            <w:r w:rsidRPr="000C4BBB">
              <w:rPr>
                <w:rFonts w:hint="eastAsia"/>
                <w:bCs/>
                <w:iCs/>
                <w:color w:val="000000"/>
                <w:sz w:val="24"/>
              </w:rPr>
              <w:t>日投资者关系活动记录表附件之业绩说明会问题汇总</w:t>
            </w:r>
          </w:p>
        </w:tc>
      </w:tr>
      <w:tr w:rsidR="0016375B" w:rsidRPr="003B5CE8" w14:paraId="69CE291A" w14:textId="77777777">
        <w:trPr>
          <w:trHeight w:val="119"/>
          <w:jc w:val="center"/>
        </w:trPr>
        <w:tc>
          <w:tcPr>
            <w:tcW w:w="2068" w:type="dxa"/>
            <w:tcBorders>
              <w:top w:val="single" w:sz="4" w:space="0" w:color="auto"/>
              <w:left w:val="single" w:sz="4" w:space="0" w:color="auto"/>
              <w:bottom w:val="single" w:sz="4" w:space="0" w:color="auto"/>
              <w:right w:val="single" w:sz="4" w:space="0" w:color="auto"/>
            </w:tcBorders>
            <w:vAlign w:val="center"/>
          </w:tcPr>
          <w:p w14:paraId="2FF0E3D3" w14:textId="77777777" w:rsidR="0016375B" w:rsidRPr="003B5CE8" w:rsidRDefault="0016375B">
            <w:pPr>
              <w:spacing w:line="360" w:lineRule="auto"/>
              <w:jc w:val="center"/>
              <w:rPr>
                <w:bCs/>
                <w:iCs/>
                <w:color w:val="000000"/>
                <w:sz w:val="24"/>
              </w:rPr>
            </w:pPr>
            <w:r w:rsidRPr="003B5CE8">
              <w:rPr>
                <w:bCs/>
                <w:iCs/>
                <w:color w:val="000000"/>
                <w:sz w:val="24"/>
              </w:rPr>
              <w:t>日期</w:t>
            </w:r>
          </w:p>
        </w:tc>
        <w:tc>
          <w:tcPr>
            <w:tcW w:w="7786" w:type="dxa"/>
            <w:tcBorders>
              <w:top w:val="single" w:sz="4" w:space="0" w:color="auto"/>
              <w:left w:val="single" w:sz="4" w:space="0" w:color="auto"/>
              <w:bottom w:val="single" w:sz="4" w:space="0" w:color="auto"/>
              <w:right w:val="single" w:sz="4" w:space="0" w:color="auto"/>
            </w:tcBorders>
            <w:vAlign w:val="center"/>
          </w:tcPr>
          <w:p w14:paraId="4760DB69" w14:textId="65746C8A" w:rsidR="0016375B" w:rsidRPr="003B5CE8" w:rsidRDefault="00E8354D" w:rsidP="00B84DF1">
            <w:pPr>
              <w:spacing w:line="360" w:lineRule="auto"/>
              <w:rPr>
                <w:bCs/>
                <w:iCs/>
                <w:color w:val="000000"/>
                <w:sz w:val="24"/>
              </w:rPr>
            </w:pPr>
            <w:r w:rsidRPr="003B5CE8">
              <w:rPr>
                <w:bCs/>
                <w:iCs/>
                <w:color w:val="000000"/>
                <w:sz w:val="24"/>
              </w:rPr>
              <w:t>20</w:t>
            </w:r>
            <w:r w:rsidR="00C41B87" w:rsidRPr="003B5CE8">
              <w:rPr>
                <w:bCs/>
                <w:iCs/>
                <w:color w:val="000000"/>
                <w:sz w:val="24"/>
              </w:rPr>
              <w:t>2</w:t>
            </w:r>
            <w:r w:rsidR="00426DFE">
              <w:rPr>
                <w:bCs/>
                <w:iCs/>
                <w:color w:val="000000"/>
                <w:sz w:val="24"/>
              </w:rPr>
              <w:t>1</w:t>
            </w:r>
            <w:r w:rsidR="0016375B" w:rsidRPr="003B5CE8">
              <w:rPr>
                <w:bCs/>
                <w:iCs/>
                <w:color w:val="000000"/>
                <w:sz w:val="24"/>
              </w:rPr>
              <w:t>年</w:t>
            </w:r>
            <w:r w:rsidR="001D4D8B">
              <w:rPr>
                <w:bCs/>
                <w:iCs/>
                <w:color w:val="000000"/>
                <w:sz w:val="24"/>
              </w:rPr>
              <w:t>4</w:t>
            </w:r>
            <w:r w:rsidR="0016375B" w:rsidRPr="003B5CE8">
              <w:rPr>
                <w:bCs/>
                <w:iCs/>
                <w:color w:val="000000"/>
                <w:sz w:val="24"/>
              </w:rPr>
              <w:t>月</w:t>
            </w:r>
            <w:r w:rsidR="001D4D8B">
              <w:rPr>
                <w:bCs/>
                <w:iCs/>
                <w:color w:val="000000"/>
                <w:sz w:val="24"/>
              </w:rPr>
              <w:t>15</w:t>
            </w:r>
            <w:r w:rsidR="0016375B" w:rsidRPr="003B5CE8">
              <w:rPr>
                <w:bCs/>
                <w:iCs/>
                <w:color w:val="000000"/>
                <w:sz w:val="24"/>
              </w:rPr>
              <w:t>日</w:t>
            </w:r>
          </w:p>
        </w:tc>
      </w:tr>
    </w:tbl>
    <w:p w14:paraId="250BC21C" w14:textId="77777777" w:rsidR="0016375B" w:rsidRPr="003B5CE8" w:rsidRDefault="0016375B" w:rsidP="00DA5A10">
      <w:pPr>
        <w:spacing w:line="360" w:lineRule="auto"/>
      </w:pPr>
    </w:p>
    <w:sectPr w:rsidR="0016375B" w:rsidRPr="003B5CE8">
      <w:pgSz w:w="11906" w:h="16838"/>
      <w:pgMar w:top="1440" w:right="1474" w:bottom="113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D988" w14:textId="77777777" w:rsidR="00FD4A76" w:rsidRDefault="00FD4A76" w:rsidP="00DB4871">
      <w:r>
        <w:separator/>
      </w:r>
    </w:p>
  </w:endnote>
  <w:endnote w:type="continuationSeparator" w:id="0">
    <w:p w14:paraId="7C4BB351" w14:textId="77777777" w:rsidR="00FD4A76" w:rsidRDefault="00FD4A76" w:rsidP="00DB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C55A6" w14:textId="77777777" w:rsidR="00FD4A76" w:rsidRDefault="00FD4A76" w:rsidP="00DB4871">
      <w:r>
        <w:separator/>
      </w:r>
    </w:p>
  </w:footnote>
  <w:footnote w:type="continuationSeparator" w:id="0">
    <w:p w14:paraId="2FDEF8D8" w14:textId="77777777" w:rsidR="00FD4A76" w:rsidRDefault="00FD4A76" w:rsidP="00DB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11375"/>
    <w:multiLevelType w:val="hybridMultilevel"/>
    <w:tmpl w:val="9BC0B4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9E7EB8"/>
    <w:multiLevelType w:val="hybridMultilevel"/>
    <w:tmpl w:val="548E3B58"/>
    <w:lvl w:ilvl="0" w:tplc="05C226C8">
      <w:start w:val="1"/>
      <w:numFmt w:val="bullet"/>
      <w:lvlText w:val=""/>
      <w:lvlJc w:val="left"/>
      <w:pPr>
        <w:tabs>
          <w:tab w:val="num" w:pos="720"/>
        </w:tabs>
        <w:ind w:left="720" w:hanging="360"/>
      </w:pPr>
      <w:rPr>
        <w:rFonts w:ascii="Wingdings" w:hAnsi="Wingdings" w:hint="default"/>
      </w:rPr>
    </w:lvl>
    <w:lvl w:ilvl="1" w:tplc="4C62D91E" w:tentative="1">
      <w:start w:val="1"/>
      <w:numFmt w:val="bullet"/>
      <w:lvlText w:val=""/>
      <w:lvlJc w:val="left"/>
      <w:pPr>
        <w:tabs>
          <w:tab w:val="num" w:pos="1440"/>
        </w:tabs>
        <w:ind w:left="1440" w:hanging="360"/>
      </w:pPr>
      <w:rPr>
        <w:rFonts w:ascii="Wingdings" w:hAnsi="Wingdings" w:hint="default"/>
      </w:rPr>
    </w:lvl>
    <w:lvl w:ilvl="2" w:tplc="EB305786" w:tentative="1">
      <w:start w:val="1"/>
      <w:numFmt w:val="bullet"/>
      <w:lvlText w:val=""/>
      <w:lvlJc w:val="left"/>
      <w:pPr>
        <w:tabs>
          <w:tab w:val="num" w:pos="2160"/>
        </w:tabs>
        <w:ind w:left="2160" w:hanging="360"/>
      </w:pPr>
      <w:rPr>
        <w:rFonts w:ascii="Wingdings" w:hAnsi="Wingdings" w:hint="default"/>
      </w:rPr>
    </w:lvl>
    <w:lvl w:ilvl="3" w:tplc="1D0239D6" w:tentative="1">
      <w:start w:val="1"/>
      <w:numFmt w:val="bullet"/>
      <w:lvlText w:val=""/>
      <w:lvlJc w:val="left"/>
      <w:pPr>
        <w:tabs>
          <w:tab w:val="num" w:pos="2880"/>
        </w:tabs>
        <w:ind w:left="2880" w:hanging="360"/>
      </w:pPr>
      <w:rPr>
        <w:rFonts w:ascii="Wingdings" w:hAnsi="Wingdings" w:hint="default"/>
      </w:rPr>
    </w:lvl>
    <w:lvl w:ilvl="4" w:tplc="11540468" w:tentative="1">
      <w:start w:val="1"/>
      <w:numFmt w:val="bullet"/>
      <w:lvlText w:val=""/>
      <w:lvlJc w:val="left"/>
      <w:pPr>
        <w:tabs>
          <w:tab w:val="num" w:pos="3600"/>
        </w:tabs>
        <w:ind w:left="3600" w:hanging="360"/>
      </w:pPr>
      <w:rPr>
        <w:rFonts w:ascii="Wingdings" w:hAnsi="Wingdings" w:hint="default"/>
      </w:rPr>
    </w:lvl>
    <w:lvl w:ilvl="5" w:tplc="57B2ABFE" w:tentative="1">
      <w:start w:val="1"/>
      <w:numFmt w:val="bullet"/>
      <w:lvlText w:val=""/>
      <w:lvlJc w:val="left"/>
      <w:pPr>
        <w:tabs>
          <w:tab w:val="num" w:pos="4320"/>
        </w:tabs>
        <w:ind w:left="4320" w:hanging="360"/>
      </w:pPr>
      <w:rPr>
        <w:rFonts w:ascii="Wingdings" w:hAnsi="Wingdings" w:hint="default"/>
      </w:rPr>
    </w:lvl>
    <w:lvl w:ilvl="6" w:tplc="B142BFC8" w:tentative="1">
      <w:start w:val="1"/>
      <w:numFmt w:val="bullet"/>
      <w:lvlText w:val=""/>
      <w:lvlJc w:val="left"/>
      <w:pPr>
        <w:tabs>
          <w:tab w:val="num" w:pos="5040"/>
        </w:tabs>
        <w:ind w:left="5040" w:hanging="360"/>
      </w:pPr>
      <w:rPr>
        <w:rFonts w:ascii="Wingdings" w:hAnsi="Wingdings" w:hint="default"/>
      </w:rPr>
    </w:lvl>
    <w:lvl w:ilvl="7" w:tplc="1054C7F0" w:tentative="1">
      <w:start w:val="1"/>
      <w:numFmt w:val="bullet"/>
      <w:lvlText w:val=""/>
      <w:lvlJc w:val="left"/>
      <w:pPr>
        <w:tabs>
          <w:tab w:val="num" w:pos="5760"/>
        </w:tabs>
        <w:ind w:left="5760" w:hanging="360"/>
      </w:pPr>
      <w:rPr>
        <w:rFonts w:ascii="Wingdings" w:hAnsi="Wingdings" w:hint="default"/>
      </w:rPr>
    </w:lvl>
    <w:lvl w:ilvl="8" w:tplc="D1845B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A33C81"/>
    <w:multiLevelType w:val="hybridMultilevel"/>
    <w:tmpl w:val="F75079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B0768F2"/>
    <w:multiLevelType w:val="hybridMultilevel"/>
    <w:tmpl w:val="D58E39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EF07352"/>
    <w:multiLevelType w:val="hybridMultilevel"/>
    <w:tmpl w:val="C24EC30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F060D1A"/>
    <w:multiLevelType w:val="hybridMultilevel"/>
    <w:tmpl w:val="148455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7374A83"/>
    <w:multiLevelType w:val="hybridMultilevel"/>
    <w:tmpl w:val="4894B6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A282F33"/>
    <w:multiLevelType w:val="hybridMultilevel"/>
    <w:tmpl w:val="10725C8E"/>
    <w:lvl w:ilvl="0" w:tplc="17383304">
      <w:start w:val="1"/>
      <w:numFmt w:val="bullet"/>
      <w:lvlText w:val="•"/>
      <w:lvlJc w:val="left"/>
      <w:pPr>
        <w:tabs>
          <w:tab w:val="num" w:pos="720"/>
        </w:tabs>
        <w:ind w:left="720" w:hanging="360"/>
      </w:pPr>
      <w:rPr>
        <w:rFonts w:ascii="宋体" w:hAnsi="宋体" w:hint="default"/>
      </w:rPr>
    </w:lvl>
    <w:lvl w:ilvl="1" w:tplc="737AA6B4" w:tentative="1">
      <w:start w:val="1"/>
      <w:numFmt w:val="bullet"/>
      <w:lvlText w:val="•"/>
      <w:lvlJc w:val="left"/>
      <w:pPr>
        <w:tabs>
          <w:tab w:val="num" w:pos="1440"/>
        </w:tabs>
        <w:ind w:left="1440" w:hanging="360"/>
      </w:pPr>
      <w:rPr>
        <w:rFonts w:ascii="宋体" w:hAnsi="宋体" w:hint="default"/>
      </w:rPr>
    </w:lvl>
    <w:lvl w:ilvl="2" w:tplc="BA14034C" w:tentative="1">
      <w:start w:val="1"/>
      <w:numFmt w:val="bullet"/>
      <w:lvlText w:val="•"/>
      <w:lvlJc w:val="left"/>
      <w:pPr>
        <w:tabs>
          <w:tab w:val="num" w:pos="2160"/>
        </w:tabs>
        <w:ind w:left="2160" w:hanging="360"/>
      </w:pPr>
      <w:rPr>
        <w:rFonts w:ascii="宋体" w:hAnsi="宋体" w:hint="default"/>
      </w:rPr>
    </w:lvl>
    <w:lvl w:ilvl="3" w:tplc="F75C1D5E" w:tentative="1">
      <w:start w:val="1"/>
      <w:numFmt w:val="bullet"/>
      <w:lvlText w:val="•"/>
      <w:lvlJc w:val="left"/>
      <w:pPr>
        <w:tabs>
          <w:tab w:val="num" w:pos="2880"/>
        </w:tabs>
        <w:ind w:left="2880" w:hanging="360"/>
      </w:pPr>
      <w:rPr>
        <w:rFonts w:ascii="宋体" w:hAnsi="宋体" w:hint="default"/>
      </w:rPr>
    </w:lvl>
    <w:lvl w:ilvl="4" w:tplc="0C00A5EE" w:tentative="1">
      <w:start w:val="1"/>
      <w:numFmt w:val="bullet"/>
      <w:lvlText w:val="•"/>
      <w:lvlJc w:val="left"/>
      <w:pPr>
        <w:tabs>
          <w:tab w:val="num" w:pos="3600"/>
        </w:tabs>
        <w:ind w:left="3600" w:hanging="360"/>
      </w:pPr>
      <w:rPr>
        <w:rFonts w:ascii="宋体" w:hAnsi="宋体" w:hint="default"/>
      </w:rPr>
    </w:lvl>
    <w:lvl w:ilvl="5" w:tplc="3C525FD8" w:tentative="1">
      <w:start w:val="1"/>
      <w:numFmt w:val="bullet"/>
      <w:lvlText w:val="•"/>
      <w:lvlJc w:val="left"/>
      <w:pPr>
        <w:tabs>
          <w:tab w:val="num" w:pos="4320"/>
        </w:tabs>
        <w:ind w:left="4320" w:hanging="360"/>
      </w:pPr>
      <w:rPr>
        <w:rFonts w:ascii="宋体" w:hAnsi="宋体" w:hint="default"/>
      </w:rPr>
    </w:lvl>
    <w:lvl w:ilvl="6" w:tplc="72B4D2B2" w:tentative="1">
      <w:start w:val="1"/>
      <w:numFmt w:val="bullet"/>
      <w:lvlText w:val="•"/>
      <w:lvlJc w:val="left"/>
      <w:pPr>
        <w:tabs>
          <w:tab w:val="num" w:pos="5040"/>
        </w:tabs>
        <w:ind w:left="5040" w:hanging="360"/>
      </w:pPr>
      <w:rPr>
        <w:rFonts w:ascii="宋体" w:hAnsi="宋体" w:hint="default"/>
      </w:rPr>
    </w:lvl>
    <w:lvl w:ilvl="7" w:tplc="806E87D4" w:tentative="1">
      <w:start w:val="1"/>
      <w:numFmt w:val="bullet"/>
      <w:lvlText w:val="•"/>
      <w:lvlJc w:val="left"/>
      <w:pPr>
        <w:tabs>
          <w:tab w:val="num" w:pos="5760"/>
        </w:tabs>
        <w:ind w:left="5760" w:hanging="360"/>
      </w:pPr>
      <w:rPr>
        <w:rFonts w:ascii="宋体" w:hAnsi="宋体" w:hint="default"/>
      </w:rPr>
    </w:lvl>
    <w:lvl w:ilvl="8" w:tplc="65FAC5DA"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7C227F5D"/>
    <w:multiLevelType w:val="hybridMultilevel"/>
    <w:tmpl w:val="CB0E8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13"/>
    <w:rsid w:val="0000175A"/>
    <w:rsid w:val="0000275F"/>
    <w:rsid w:val="0001681D"/>
    <w:rsid w:val="0002177F"/>
    <w:rsid w:val="00021900"/>
    <w:rsid w:val="000233F9"/>
    <w:rsid w:val="00024A94"/>
    <w:rsid w:val="00026B52"/>
    <w:rsid w:val="00030AE8"/>
    <w:rsid w:val="000326DE"/>
    <w:rsid w:val="00033131"/>
    <w:rsid w:val="00036606"/>
    <w:rsid w:val="00036A3E"/>
    <w:rsid w:val="00037519"/>
    <w:rsid w:val="0003758E"/>
    <w:rsid w:val="00041223"/>
    <w:rsid w:val="000420C5"/>
    <w:rsid w:val="000437BB"/>
    <w:rsid w:val="00045179"/>
    <w:rsid w:val="0004736F"/>
    <w:rsid w:val="000476C7"/>
    <w:rsid w:val="00047786"/>
    <w:rsid w:val="000607D4"/>
    <w:rsid w:val="00071BE6"/>
    <w:rsid w:val="000758F8"/>
    <w:rsid w:val="00076301"/>
    <w:rsid w:val="00076FC0"/>
    <w:rsid w:val="00084BDE"/>
    <w:rsid w:val="00085CCF"/>
    <w:rsid w:val="00090E20"/>
    <w:rsid w:val="0009105C"/>
    <w:rsid w:val="000925AE"/>
    <w:rsid w:val="000945AD"/>
    <w:rsid w:val="00094B93"/>
    <w:rsid w:val="00094DAA"/>
    <w:rsid w:val="00095E76"/>
    <w:rsid w:val="00096713"/>
    <w:rsid w:val="00097CA0"/>
    <w:rsid w:val="000A3AED"/>
    <w:rsid w:val="000A5CF4"/>
    <w:rsid w:val="000A669A"/>
    <w:rsid w:val="000B065D"/>
    <w:rsid w:val="000B0817"/>
    <w:rsid w:val="000B707E"/>
    <w:rsid w:val="000B766B"/>
    <w:rsid w:val="000C1572"/>
    <w:rsid w:val="000C2C1C"/>
    <w:rsid w:val="000C4689"/>
    <w:rsid w:val="000C4BBB"/>
    <w:rsid w:val="000C5AED"/>
    <w:rsid w:val="000C6632"/>
    <w:rsid w:val="000D1329"/>
    <w:rsid w:val="000D19C5"/>
    <w:rsid w:val="000D7E01"/>
    <w:rsid w:val="000E05A8"/>
    <w:rsid w:val="000E40A3"/>
    <w:rsid w:val="000E43E8"/>
    <w:rsid w:val="000E7AA1"/>
    <w:rsid w:val="000F4B81"/>
    <w:rsid w:val="000F4F65"/>
    <w:rsid w:val="00100387"/>
    <w:rsid w:val="00100B65"/>
    <w:rsid w:val="001018C1"/>
    <w:rsid w:val="00103837"/>
    <w:rsid w:val="001054B1"/>
    <w:rsid w:val="00111369"/>
    <w:rsid w:val="00112CB0"/>
    <w:rsid w:val="00113234"/>
    <w:rsid w:val="0012687D"/>
    <w:rsid w:val="00130FE8"/>
    <w:rsid w:val="00131ABD"/>
    <w:rsid w:val="00132E96"/>
    <w:rsid w:val="00133976"/>
    <w:rsid w:val="00135169"/>
    <w:rsid w:val="00142CB3"/>
    <w:rsid w:val="00144E72"/>
    <w:rsid w:val="001452CA"/>
    <w:rsid w:val="00146F6B"/>
    <w:rsid w:val="00147240"/>
    <w:rsid w:val="00147780"/>
    <w:rsid w:val="0015136B"/>
    <w:rsid w:val="0015235D"/>
    <w:rsid w:val="00154456"/>
    <w:rsid w:val="001568CC"/>
    <w:rsid w:val="001572F6"/>
    <w:rsid w:val="001577B6"/>
    <w:rsid w:val="00160A9D"/>
    <w:rsid w:val="00162E30"/>
    <w:rsid w:val="0016375B"/>
    <w:rsid w:val="0017191D"/>
    <w:rsid w:val="001761B7"/>
    <w:rsid w:val="00176BD3"/>
    <w:rsid w:val="00180F98"/>
    <w:rsid w:val="001829FA"/>
    <w:rsid w:val="00182E2A"/>
    <w:rsid w:val="0018752A"/>
    <w:rsid w:val="00190175"/>
    <w:rsid w:val="001936A4"/>
    <w:rsid w:val="0019489B"/>
    <w:rsid w:val="00195FC7"/>
    <w:rsid w:val="001A0D70"/>
    <w:rsid w:val="001A2D27"/>
    <w:rsid w:val="001B0B54"/>
    <w:rsid w:val="001B0DA0"/>
    <w:rsid w:val="001B1871"/>
    <w:rsid w:val="001B2741"/>
    <w:rsid w:val="001B695F"/>
    <w:rsid w:val="001B79BE"/>
    <w:rsid w:val="001C0012"/>
    <w:rsid w:val="001C17B4"/>
    <w:rsid w:val="001C50BB"/>
    <w:rsid w:val="001C7BE1"/>
    <w:rsid w:val="001D4D8B"/>
    <w:rsid w:val="001D5AA6"/>
    <w:rsid w:val="001D706A"/>
    <w:rsid w:val="001D7AB5"/>
    <w:rsid w:val="001D7FCA"/>
    <w:rsid w:val="001E1199"/>
    <w:rsid w:val="001E1EC2"/>
    <w:rsid w:val="002006D9"/>
    <w:rsid w:val="00202024"/>
    <w:rsid w:val="00203974"/>
    <w:rsid w:val="00206A41"/>
    <w:rsid w:val="002137DE"/>
    <w:rsid w:val="002155D9"/>
    <w:rsid w:val="0021657C"/>
    <w:rsid w:val="00217118"/>
    <w:rsid w:val="0021747D"/>
    <w:rsid w:val="00217AD4"/>
    <w:rsid w:val="00220D41"/>
    <w:rsid w:val="0022245E"/>
    <w:rsid w:val="002258FC"/>
    <w:rsid w:val="00236027"/>
    <w:rsid w:val="002376B1"/>
    <w:rsid w:val="00237997"/>
    <w:rsid w:val="0024498E"/>
    <w:rsid w:val="00247F0F"/>
    <w:rsid w:val="00252617"/>
    <w:rsid w:val="00252E95"/>
    <w:rsid w:val="002564F2"/>
    <w:rsid w:val="00260D0F"/>
    <w:rsid w:val="00267C21"/>
    <w:rsid w:val="00272C70"/>
    <w:rsid w:val="002737B5"/>
    <w:rsid w:val="002756EA"/>
    <w:rsid w:val="00277AC2"/>
    <w:rsid w:val="0028035C"/>
    <w:rsid w:val="00281240"/>
    <w:rsid w:val="00283FCB"/>
    <w:rsid w:val="00284AD2"/>
    <w:rsid w:val="00290954"/>
    <w:rsid w:val="00291527"/>
    <w:rsid w:val="00292446"/>
    <w:rsid w:val="002972F2"/>
    <w:rsid w:val="002A1258"/>
    <w:rsid w:val="002A2C15"/>
    <w:rsid w:val="002A331F"/>
    <w:rsid w:val="002A772C"/>
    <w:rsid w:val="002B13EC"/>
    <w:rsid w:val="002B2413"/>
    <w:rsid w:val="002B5C16"/>
    <w:rsid w:val="002C151F"/>
    <w:rsid w:val="002C1AC5"/>
    <w:rsid w:val="002C4A91"/>
    <w:rsid w:val="002D007F"/>
    <w:rsid w:val="002D0B33"/>
    <w:rsid w:val="002D4CC4"/>
    <w:rsid w:val="002D6174"/>
    <w:rsid w:val="002E0F21"/>
    <w:rsid w:val="002E2C66"/>
    <w:rsid w:val="002E32EA"/>
    <w:rsid w:val="002E51D3"/>
    <w:rsid w:val="002F1510"/>
    <w:rsid w:val="002F4CA4"/>
    <w:rsid w:val="002F65E9"/>
    <w:rsid w:val="003011D2"/>
    <w:rsid w:val="00301B7B"/>
    <w:rsid w:val="00307A83"/>
    <w:rsid w:val="003144D4"/>
    <w:rsid w:val="00314F6C"/>
    <w:rsid w:val="003160D7"/>
    <w:rsid w:val="00316884"/>
    <w:rsid w:val="00316C9A"/>
    <w:rsid w:val="003203DA"/>
    <w:rsid w:val="003271E1"/>
    <w:rsid w:val="00332F4E"/>
    <w:rsid w:val="00354C5D"/>
    <w:rsid w:val="00354F16"/>
    <w:rsid w:val="00355030"/>
    <w:rsid w:val="00357F72"/>
    <w:rsid w:val="00361E5F"/>
    <w:rsid w:val="00362794"/>
    <w:rsid w:val="00364655"/>
    <w:rsid w:val="00365529"/>
    <w:rsid w:val="0036737A"/>
    <w:rsid w:val="0037147E"/>
    <w:rsid w:val="003838C4"/>
    <w:rsid w:val="003870A1"/>
    <w:rsid w:val="003875CF"/>
    <w:rsid w:val="00387F0C"/>
    <w:rsid w:val="00390346"/>
    <w:rsid w:val="00393193"/>
    <w:rsid w:val="0039665E"/>
    <w:rsid w:val="003A2DBF"/>
    <w:rsid w:val="003A3023"/>
    <w:rsid w:val="003A37CA"/>
    <w:rsid w:val="003A6B1C"/>
    <w:rsid w:val="003B40D4"/>
    <w:rsid w:val="003B5CE8"/>
    <w:rsid w:val="003C2D1F"/>
    <w:rsid w:val="003C3137"/>
    <w:rsid w:val="003C610E"/>
    <w:rsid w:val="003D1FEE"/>
    <w:rsid w:val="003D4178"/>
    <w:rsid w:val="003D58F9"/>
    <w:rsid w:val="003E52C8"/>
    <w:rsid w:val="003F4E5C"/>
    <w:rsid w:val="00402EAA"/>
    <w:rsid w:val="00407FB4"/>
    <w:rsid w:val="00410228"/>
    <w:rsid w:val="00414836"/>
    <w:rsid w:val="00415A89"/>
    <w:rsid w:val="004175FE"/>
    <w:rsid w:val="004216E4"/>
    <w:rsid w:val="00425477"/>
    <w:rsid w:val="00426DFE"/>
    <w:rsid w:val="00434AD3"/>
    <w:rsid w:val="00436B3E"/>
    <w:rsid w:val="00436CF6"/>
    <w:rsid w:val="0044181E"/>
    <w:rsid w:val="00446FC8"/>
    <w:rsid w:val="00450995"/>
    <w:rsid w:val="00450DF7"/>
    <w:rsid w:val="0045426A"/>
    <w:rsid w:val="00454E17"/>
    <w:rsid w:val="00457A70"/>
    <w:rsid w:val="00461BE8"/>
    <w:rsid w:val="00461CAB"/>
    <w:rsid w:val="00464B2F"/>
    <w:rsid w:val="00464E26"/>
    <w:rsid w:val="004776D3"/>
    <w:rsid w:val="004809AA"/>
    <w:rsid w:val="00482442"/>
    <w:rsid w:val="00482A84"/>
    <w:rsid w:val="004839EB"/>
    <w:rsid w:val="004843FD"/>
    <w:rsid w:val="00484DEE"/>
    <w:rsid w:val="00487029"/>
    <w:rsid w:val="004905ED"/>
    <w:rsid w:val="00491F9A"/>
    <w:rsid w:val="0049703B"/>
    <w:rsid w:val="00497670"/>
    <w:rsid w:val="004A0204"/>
    <w:rsid w:val="004A6CAF"/>
    <w:rsid w:val="004B16BE"/>
    <w:rsid w:val="004B32B8"/>
    <w:rsid w:val="004B32C1"/>
    <w:rsid w:val="004B39EA"/>
    <w:rsid w:val="004B7441"/>
    <w:rsid w:val="004C3441"/>
    <w:rsid w:val="004D5C3E"/>
    <w:rsid w:val="004D6761"/>
    <w:rsid w:val="004D7B60"/>
    <w:rsid w:val="004E2027"/>
    <w:rsid w:val="004E247F"/>
    <w:rsid w:val="004F323F"/>
    <w:rsid w:val="004F55F3"/>
    <w:rsid w:val="005008DF"/>
    <w:rsid w:val="00501094"/>
    <w:rsid w:val="00501463"/>
    <w:rsid w:val="00501EDD"/>
    <w:rsid w:val="005027F2"/>
    <w:rsid w:val="005059E9"/>
    <w:rsid w:val="00517373"/>
    <w:rsid w:val="0051777A"/>
    <w:rsid w:val="00517BD6"/>
    <w:rsid w:val="00520976"/>
    <w:rsid w:val="00520C80"/>
    <w:rsid w:val="00522CD5"/>
    <w:rsid w:val="0052757D"/>
    <w:rsid w:val="0053312D"/>
    <w:rsid w:val="00536050"/>
    <w:rsid w:val="005362C5"/>
    <w:rsid w:val="00552DFE"/>
    <w:rsid w:val="0055575E"/>
    <w:rsid w:val="00556C54"/>
    <w:rsid w:val="00557037"/>
    <w:rsid w:val="00570012"/>
    <w:rsid w:val="00570581"/>
    <w:rsid w:val="0058003B"/>
    <w:rsid w:val="00583033"/>
    <w:rsid w:val="005838CD"/>
    <w:rsid w:val="005915A8"/>
    <w:rsid w:val="00593E11"/>
    <w:rsid w:val="00594789"/>
    <w:rsid w:val="005A23D2"/>
    <w:rsid w:val="005B3B36"/>
    <w:rsid w:val="005B5CF3"/>
    <w:rsid w:val="005C2A9C"/>
    <w:rsid w:val="005D062A"/>
    <w:rsid w:val="005D13BC"/>
    <w:rsid w:val="005D31D7"/>
    <w:rsid w:val="005D58AD"/>
    <w:rsid w:val="005E15F5"/>
    <w:rsid w:val="005E394B"/>
    <w:rsid w:val="005F39E2"/>
    <w:rsid w:val="00605EF1"/>
    <w:rsid w:val="00606E19"/>
    <w:rsid w:val="00611022"/>
    <w:rsid w:val="00612342"/>
    <w:rsid w:val="00615D78"/>
    <w:rsid w:val="00616BF2"/>
    <w:rsid w:val="006171EB"/>
    <w:rsid w:val="006234E9"/>
    <w:rsid w:val="00624AAC"/>
    <w:rsid w:val="00636DA8"/>
    <w:rsid w:val="00637470"/>
    <w:rsid w:val="006416A2"/>
    <w:rsid w:val="006468B7"/>
    <w:rsid w:val="00646979"/>
    <w:rsid w:val="00650F43"/>
    <w:rsid w:val="006524D7"/>
    <w:rsid w:val="00655835"/>
    <w:rsid w:val="00660287"/>
    <w:rsid w:val="00662368"/>
    <w:rsid w:val="00664091"/>
    <w:rsid w:val="00664D3B"/>
    <w:rsid w:val="0067339E"/>
    <w:rsid w:val="00676979"/>
    <w:rsid w:val="0068051E"/>
    <w:rsid w:val="006814F2"/>
    <w:rsid w:val="00683A4B"/>
    <w:rsid w:val="00684618"/>
    <w:rsid w:val="0069712F"/>
    <w:rsid w:val="006A2D0D"/>
    <w:rsid w:val="006A3CA5"/>
    <w:rsid w:val="006A791A"/>
    <w:rsid w:val="006B03B1"/>
    <w:rsid w:val="006B5FB4"/>
    <w:rsid w:val="006C12E0"/>
    <w:rsid w:val="006C24F8"/>
    <w:rsid w:val="006D6E6C"/>
    <w:rsid w:val="006D6F4C"/>
    <w:rsid w:val="006D76A8"/>
    <w:rsid w:val="006E10E3"/>
    <w:rsid w:val="006E1BB2"/>
    <w:rsid w:val="006F250C"/>
    <w:rsid w:val="006F280E"/>
    <w:rsid w:val="006F4411"/>
    <w:rsid w:val="00700D23"/>
    <w:rsid w:val="00703E1E"/>
    <w:rsid w:val="0072036D"/>
    <w:rsid w:val="00723A45"/>
    <w:rsid w:val="0072639F"/>
    <w:rsid w:val="00726D9E"/>
    <w:rsid w:val="007276EF"/>
    <w:rsid w:val="007332A3"/>
    <w:rsid w:val="00734882"/>
    <w:rsid w:val="00734D3F"/>
    <w:rsid w:val="00735208"/>
    <w:rsid w:val="007354E5"/>
    <w:rsid w:val="00740345"/>
    <w:rsid w:val="00746788"/>
    <w:rsid w:val="0074791B"/>
    <w:rsid w:val="00757A4A"/>
    <w:rsid w:val="00760BD4"/>
    <w:rsid w:val="0076108E"/>
    <w:rsid w:val="00764F27"/>
    <w:rsid w:val="00765F9F"/>
    <w:rsid w:val="007720C5"/>
    <w:rsid w:val="00797CBD"/>
    <w:rsid w:val="007B457E"/>
    <w:rsid w:val="007B5223"/>
    <w:rsid w:val="007C0E49"/>
    <w:rsid w:val="007C2590"/>
    <w:rsid w:val="007C7285"/>
    <w:rsid w:val="007C76B0"/>
    <w:rsid w:val="007C7ABF"/>
    <w:rsid w:val="007D35F6"/>
    <w:rsid w:val="007D43F8"/>
    <w:rsid w:val="007D724B"/>
    <w:rsid w:val="007D72B8"/>
    <w:rsid w:val="007E2F4B"/>
    <w:rsid w:val="007F28B4"/>
    <w:rsid w:val="007F5AAA"/>
    <w:rsid w:val="007F5B2D"/>
    <w:rsid w:val="007F6E51"/>
    <w:rsid w:val="008004F0"/>
    <w:rsid w:val="00803C3F"/>
    <w:rsid w:val="00805F10"/>
    <w:rsid w:val="00806594"/>
    <w:rsid w:val="008101E7"/>
    <w:rsid w:val="0081264A"/>
    <w:rsid w:val="00814644"/>
    <w:rsid w:val="00816DF3"/>
    <w:rsid w:val="008214BD"/>
    <w:rsid w:val="00826595"/>
    <w:rsid w:val="008318B6"/>
    <w:rsid w:val="0084582E"/>
    <w:rsid w:val="008521DE"/>
    <w:rsid w:val="0085295D"/>
    <w:rsid w:val="00853847"/>
    <w:rsid w:val="00855DAB"/>
    <w:rsid w:val="00855F1B"/>
    <w:rsid w:val="00861DEF"/>
    <w:rsid w:val="00874D8C"/>
    <w:rsid w:val="008752FF"/>
    <w:rsid w:val="00876C50"/>
    <w:rsid w:val="00883A83"/>
    <w:rsid w:val="00883D4F"/>
    <w:rsid w:val="00884193"/>
    <w:rsid w:val="00892D05"/>
    <w:rsid w:val="00895AFE"/>
    <w:rsid w:val="00896A0E"/>
    <w:rsid w:val="00897C3D"/>
    <w:rsid w:val="008A0BFF"/>
    <w:rsid w:val="008A0D17"/>
    <w:rsid w:val="008A4C2E"/>
    <w:rsid w:val="008A5577"/>
    <w:rsid w:val="008B1C70"/>
    <w:rsid w:val="008C1A5B"/>
    <w:rsid w:val="008C336D"/>
    <w:rsid w:val="008C6DAA"/>
    <w:rsid w:val="008C7E7B"/>
    <w:rsid w:val="008D09FE"/>
    <w:rsid w:val="008D2A7B"/>
    <w:rsid w:val="008D3435"/>
    <w:rsid w:val="008D392C"/>
    <w:rsid w:val="008E339F"/>
    <w:rsid w:val="008E49CE"/>
    <w:rsid w:val="008F07D1"/>
    <w:rsid w:val="008F08CF"/>
    <w:rsid w:val="00902CEA"/>
    <w:rsid w:val="009069F6"/>
    <w:rsid w:val="00907334"/>
    <w:rsid w:val="0091208E"/>
    <w:rsid w:val="009127F8"/>
    <w:rsid w:val="00913867"/>
    <w:rsid w:val="009147E8"/>
    <w:rsid w:val="00916532"/>
    <w:rsid w:val="00925944"/>
    <w:rsid w:val="0093134E"/>
    <w:rsid w:val="00934270"/>
    <w:rsid w:val="00935829"/>
    <w:rsid w:val="00941213"/>
    <w:rsid w:val="009424C1"/>
    <w:rsid w:val="00952D50"/>
    <w:rsid w:val="009543FC"/>
    <w:rsid w:val="009632C4"/>
    <w:rsid w:val="00965D77"/>
    <w:rsid w:val="00971D21"/>
    <w:rsid w:val="00974A62"/>
    <w:rsid w:val="009763DF"/>
    <w:rsid w:val="00980236"/>
    <w:rsid w:val="00981D82"/>
    <w:rsid w:val="00983927"/>
    <w:rsid w:val="009844F8"/>
    <w:rsid w:val="00985CB4"/>
    <w:rsid w:val="0098631C"/>
    <w:rsid w:val="00987262"/>
    <w:rsid w:val="00990141"/>
    <w:rsid w:val="00990733"/>
    <w:rsid w:val="0099175E"/>
    <w:rsid w:val="0099642C"/>
    <w:rsid w:val="009A06E3"/>
    <w:rsid w:val="009A23D1"/>
    <w:rsid w:val="009B50B6"/>
    <w:rsid w:val="009B7A35"/>
    <w:rsid w:val="009C03EC"/>
    <w:rsid w:val="009C7ABC"/>
    <w:rsid w:val="009D1F1A"/>
    <w:rsid w:val="009D2205"/>
    <w:rsid w:val="009D348C"/>
    <w:rsid w:val="009D44AC"/>
    <w:rsid w:val="009D69A9"/>
    <w:rsid w:val="009E23F7"/>
    <w:rsid w:val="009E5EBE"/>
    <w:rsid w:val="009F45D5"/>
    <w:rsid w:val="009F5778"/>
    <w:rsid w:val="009F5C60"/>
    <w:rsid w:val="00A05895"/>
    <w:rsid w:val="00A0752D"/>
    <w:rsid w:val="00A11606"/>
    <w:rsid w:val="00A12658"/>
    <w:rsid w:val="00A159C5"/>
    <w:rsid w:val="00A17AB4"/>
    <w:rsid w:val="00A17DB8"/>
    <w:rsid w:val="00A23D87"/>
    <w:rsid w:val="00A32306"/>
    <w:rsid w:val="00A3525C"/>
    <w:rsid w:val="00A41C41"/>
    <w:rsid w:val="00A50A4A"/>
    <w:rsid w:val="00A51580"/>
    <w:rsid w:val="00A5687B"/>
    <w:rsid w:val="00A622D5"/>
    <w:rsid w:val="00A62B15"/>
    <w:rsid w:val="00A63052"/>
    <w:rsid w:val="00A64B69"/>
    <w:rsid w:val="00A65C8F"/>
    <w:rsid w:val="00A662AA"/>
    <w:rsid w:val="00A67322"/>
    <w:rsid w:val="00A72047"/>
    <w:rsid w:val="00A75C17"/>
    <w:rsid w:val="00A8141A"/>
    <w:rsid w:val="00AA0FB8"/>
    <w:rsid w:val="00AA1460"/>
    <w:rsid w:val="00AA52EF"/>
    <w:rsid w:val="00AB0412"/>
    <w:rsid w:val="00AB44D1"/>
    <w:rsid w:val="00AC059D"/>
    <w:rsid w:val="00AC12BD"/>
    <w:rsid w:val="00AC21CA"/>
    <w:rsid w:val="00AC5B88"/>
    <w:rsid w:val="00AD01D5"/>
    <w:rsid w:val="00AD25B7"/>
    <w:rsid w:val="00AD45E5"/>
    <w:rsid w:val="00AD4B83"/>
    <w:rsid w:val="00AD7D47"/>
    <w:rsid w:val="00AE3197"/>
    <w:rsid w:val="00AE49E0"/>
    <w:rsid w:val="00AE7FCE"/>
    <w:rsid w:val="00AF0CB8"/>
    <w:rsid w:val="00AF36A2"/>
    <w:rsid w:val="00B01238"/>
    <w:rsid w:val="00B02532"/>
    <w:rsid w:val="00B05F4C"/>
    <w:rsid w:val="00B11624"/>
    <w:rsid w:val="00B11779"/>
    <w:rsid w:val="00B135EF"/>
    <w:rsid w:val="00B1435E"/>
    <w:rsid w:val="00B2149A"/>
    <w:rsid w:val="00B21784"/>
    <w:rsid w:val="00B25882"/>
    <w:rsid w:val="00B27413"/>
    <w:rsid w:val="00B32BA6"/>
    <w:rsid w:val="00B3381B"/>
    <w:rsid w:val="00B349CA"/>
    <w:rsid w:val="00B35F8B"/>
    <w:rsid w:val="00B368E6"/>
    <w:rsid w:val="00B375A9"/>
    <w:rsid w:val="00B413F3"/>
    <w:rsid w:val="00B550AB"/>
    <w:rsid w:val="00B61ADB"/>
    <w:rsid w:val="00B63A65"/>
    <w:rsid w:val="00B72371"/>
    <w:rsid w:val="00B74C39"/>
    <w:rsid w:val="00B84D32"/>
    <w:rsid w:val="00B84DF1"/>
    <w:rsid w:val="00B90E6B"/>
    <w:rsid w:val="00B9143F"/>
    <w:rsid w:val="00B93184"/>
    <w:rsid w:val="00B93D85"/>
    <w:rsid w:val="00B954F9"/>
    <w:rsid w:val="00B95C26"/>
    <w:rsid w:val="00BA233E"/>
    <w:rsid w:val="00BA4308"/>
    <w:rsid w:val="00BA6191"/>
    <w:rsid w:val="00BA721C"/>
    <w:rsid w:val="00BB21B5"/>
    <w:rsid w:val="00BB2AFA"/>
    <w:rsid w:val="00BB6D67"/>
    <w:rsid w:val="00BC0B4F"/>
    <w:rsid w:val="00BC1041"/>
    <w:rsid w:val="00BC3BD9"/>
    <w:rsid w:val="00BC5154"/>
    <w:rsid w:val="00BC5273"/>
    <w:rsid w:val="00BC65AB"/>
    <w:rsid w:val="00BC7D8F"/>
    <w:rsid w:val="00BD108B"/>
    <w:rsid w:val="00BD2119"/>
    <w:rsid w:val="00BD2B63"/>
    <w:rsid w:val="00BD3B3B"/>
    <w:rsid w:val="00BD4F0A"/>
    <w:rsid w:val="00BD5584"/>
    <w:rsid w:val="00BE2D12"/>
    <w:rsid w:val="00BE742E"/>
    <w:rsid w:val="00BF775B"/>
    <w:rsid w:val="00C017F8"/>
    <w:rsid w:val="00C05487"/>
    <w:rsid w:val="00C1023D"/>
    <w:rsid w:val="00C11034"/>
    <w:rsid w:val="00C1210D"/>
    <w:rsid w:val="00C14BF8"/>
    <w:rsid w:val="00C17B8A"/>
    <w:rsid w:val="00C22CB2"/>
    <w:rsid w:val="00C3203B"/>
    <w:rsid w:val="00C3209B"/>
    <w:rsid w:val="00C368AE"/>
    <w:rsid w:val="00C41B87"/>
    <w:rsid w:val="00C4424B"/>
    <w:rsid w:val="00C44D3A"/>
    <w:rsid w:val="00C45EE9"/>
    <w:rsid w:val="00C46569"/>
    <w:rsid w:val="00C56E09"/>
    <w:rsid w:val="00C639CD"/>
    <w:rsid w:val="00C6407E"/>
    <w:rsid w:val="00C704ED"/>
    <w:rsid w:val="00C70959"/>
    <w:rsid w:val="00C71A2F"/>
    <w:rsid w:val="00C7238A"/>
    <w:rsid w:val="00C72A8B"/>
    <w:rsid w:val="00C72DB2"/>
    <w:rsid w:val="00C73520"/>
    <w:rsid w:val="00C739BD"/>
    <w:rsid w:val="00C76883"/>
    <w:rsid w:val="00C823B0"/>
    <w:rsid w:val="00C830CD"/>
    <w:rsid w:val="00C955BE"/>
    <w:rsid w:val="00C95B8E"/>
    <w:rsid w:val="00CA0C9D"/>
    <w:rsid w:val="00CA6178"/>
    <w:rsid w:val="00CB279C"/>
    <w:rsid w:val="00CB2C30"/>
    <w:rsid w:val="00CB5547"/>
    <w:rsid w:val="00CB5A66"/>
    <w:rsid w:val="00CC2ADB"/>
    <w:rsid w:val="00CC34DB"/>
    <w:rsid w:val="00CC5CF1"/>
    <w:rsid w:val="00CC7129"/>
    <w:rsid w:val="00CD5AC2"/>
    <w:rsid w:val="00CE04A1"/>
    <w:rsid w:val="00CE556E"/>
    <w:rsid w:val="00CF0058"/>
    <w:rsid w:val="00CF098B"/>
    <w:rsid w:val="00CF599C"/>
    <w:rsid w:val="00CF64F7"/>
    <w:rsid w:val="00D00CC7"/>
    <w:rsid w:val="00D0282C"/>
    <w:rsid w:val="00D02A51"/>
    <w:rsid w:val="00D07382"/>
    <w:rsid w:val="00D10276"/>
    <w:rsid w:val="00D12013"/>
    <w:rsid w:val="00D20035"/>
    <w:rsid w:val="00D23665"/>
    <w:rsid w:val="00D32E36"/>
    <w:rsid w:val="00D37297"/>
    <w:rsid w:val="00D37783"/>
    <w:rsid w:val="00D419A7"/>
    <w:rsid w:val="00D43D6F"/>
    <w:rsid w:val="00D44B66"/>
    <w:rsid w:val="00D46380"/>
    <w:rsid w:val="00D520B1"/>
    <w:rsid w:val="00D544F5"/>
    <w:rsid w:val="00D552EB"/>
    <w:rsid w:val="00D57FBA"/>
    <w:rsid w:val="00D6309D"/>
    <w:rsid w:val="00D8617D"/>
    <w:rsid w:val="00D87364"/>
    <w:rsid w:val="00D9247C"/>
    <w:rsid w:val="00D93066"/>
    <w:rsid w:val="00DA31F9"/>
    <w:rsid w:val="00DA34D1"/>
    <w:rsid w:val="00DA3D4E"/>
    <w:rsid w:val="00DA4E96"/>
    <w:rsid w:val="00DA5A10"/>
    <w:rsid w:val="00DB2667"/>
    <w:rsid w:val="00DB2DEC"/>
    <w:rsid w:val="00DB4834"/>
    <w:rsid w:val="00DB4871"/>
    <w:rsid w:val="00DB7C0D"/>
    <w:rsid w:val="00DC10FA"/>
    <w:rsid w:val="00DC590A"/>
    <w:rsid w:val="00DD1E45"/>
    <w:rsid w:val="00DE0A25"/>
    <w:rsid w:val="00DE18FF"/>
    <w:rsid w:val="00DE25F1"/>
    <w:rsid w:val="00DE5B12"/>
    <w:rsid w:val="00DF285C"/>
    <w:rsid w:val="00DF29FA"/>
    <w:rsid w:val="00DF6BF4"/>
    <w:rsid w:val="00E00E31"/>
    <w:rsid w:val="00E01269"/>
    <w:rsid w:val="00E030E8"/>
    <w:rsid w:val="00E12020"/>
    <w:rsid w:val="00E20185"/>
    <w:rsid w:val="00E206F2"/>
    <w:rsid w:val="00E2278D"/>
    <w:rsid w:val="00E258E8"/>
    <w:rsid w:val="00E33F39"/>
    <w:rsid w:val="00E3471D"/>
    <w:rsid w:val="00E36BF5"/>
    <w:rsid w:val="00E4020A"/>
    <w:rsid w:val="00E4024B"/>
    <w:rsid w:val="00E42469"/>
    <w:rsid w:val="00E461AC"/>
    <w:rsid w:val="00E56FBE"/>
    <w:rsid w:val="00E708DB"/>
    <w:rsid w:val="00E757C7"/>
    <w:rsid w:val="00E76642"/>
    <w:rsid w:val="00E76F9C"/>
    <w:rsid w:val="00E80B60"/>
    <w:rsid w:val="00E80C3E"/>
    <w:rsid w:val="00E8345F"/>
    <w:rsid w:val="00E8354D"/>
    <w:rsid w:val="00E8605F"/>
    <w:rsid w:val="00E930B7"/>
    <w:rsid w:val="00E938E8"/>
    <w:rsid w:val="00E93FD2"/>
    <w:rsid w:val="00E96402"/>
    <w:rsid w:val="00EA0E94"/>
    <w:rsid w:val="00EB0F29"/>
    <w:rsid w:val="00EB2D0A"/>
    <w:rsid w:val="00EB4CC3"/>
    <w:rsid w:val="00EB5051"/>
    <w:rsid w:val="00EB733B"/>
    <w:rsid w:val="00EB76F9"/>
    <w:rsid w:val="00EC2759"/>
    <w:rsid w:val="00EC49C2"/>
    <w:rsid w:val="00EC5A49"/>
    <w:rsid w:val="00EC6676"/>
    <w:rsid w:val="00ED19F0"/>
    <w:rsid w:val="00ED27A1"/>
    <w:rsid w:val="00ED3224"/>
    <w:rsid w:val="00ED3E0A"/>
    <w:rsid w:val="00EE47F1"/>
    <w:rsid w:val="00EF0464"/>
    <w:rsid w:val="00EF1D40"/>
    <w:rsid w:val="00EF2D52"/>
    <w:rsid w:val="00EF5C7C"/>
    <w:rsid w:val="00EF5D9D"/>
    <w:rsid w:val="00EF632C"/>
    <w:rsid w:val="00EF7095"/>
    <w:rsid w:val="00EF7B57"/>
    <w:rsid w:val="00F006D4"/>
    <w:rsid w:val="00F01C0E"/>
    <w:rsid w:val="00F035E5"/>
    <w:rsid w:val="00F13698"/>
    <w:rsid w:val="00F258D5"/>
    <w:rsid w:val="00F2591F"/>
    <w:rsid w:val="00F263F4"/>
    <w:rsid w:val="00F32364"/>
    <w:rsid w:val="00F41683"/>
    <w:rsid w:val="00F474A1"/>
    <w:rsid w:val="00F47630"/>
    <w:rsid w:val="00F51D94"/>
    <w:rsid w:val="00F55CA4"/>
    <w:rsid w:val="00F561C0"/>
    <w:rsid w:val="00F566FE"/>
    <w:rsid w:val="00F56B84"/>
    <w:rsid w:val="00F651FB"/>
    <w:rsid w:val="00F66101"/>
    <w:rsid w:val="00F662D8"/>
    <w:rsid w:val="00F67796"/>
    <w:rsid w:val="00F73944"/>
    <w:rsid w:val="00F812C9"/>
    <w:rsid w:val="00F81F49"/>
    <w:rsid w:val="00F82DBF"/>
    <w:rsid w:val="00F8396E"/>
    <w:rsid w:val="00F86195"/>
    <w:rsid w:val="00F86AE9"/>
    <w:rsid w:val="00F9364F"/>
    <w:rsid w:val="00F93FD1"/>
    <w:rsid w:val="00F94E6D"/>
    <w:rsid w:val="00FA155D"/>
    <w:rsid w:val="00FA2AAF"/>
    <w:rsid w:val="00FA3B9D"/>
    <w:rsid w:val="00FA626D"/>
    <w:rsid w:val="00FA66CC"/>
    <w:rsid w:val="00FB2104"/>
    <w:rsid w:val="00FB42D9"/>
    <w:rsid w:val="00FB59EF"/>
    <w:rsid w:val="00FC0EB5"/>
    <w:rsid w:val="00FC5C15"/>
    <w:rsid w:val="00FD21F6"/>
    <w:rsid w:val="00FD3FE2"/>
    <w:rsid w:val="00FD4A76"/>
    <w:rsid w:val="00FD615D"/>
    <w:rsid w:val="00FE2431"/>
    <w:rsid w:val="00FE318E"/>
    <w:rsid w:val="00FE7C2E"/>
    <w:rsid w:val="00FF156D"/>
    <w:rsid w:val="00FF47E0"/>
    <w:rsid w:val="00FF612D"/>
    <w:rsid w:val="00FF6CA7"/>
    <w:rsid w:val="00FF6D9E"/>
    <w:rsid w:val="00FF7124"/>
    <w:rsid w:val="00FF7D01"/>
    <w:rsid w:val="00FF7DCE"/>
    <w:rsid w:val="0DC65F61"/>
    <w:rsid w:val="3F9145E0"/>
    <w:rsid w:val="427B72F6"/>
    <w:rsid w:val="49393A8A"/>
    <w:rsid w:val="7E75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E5CDAAB"/>
  <w15:docId w15:val="{16EEAF56-50D8-4CF0-A8EB-BEF584F0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Hyperlink"/>
    <w:rPr>
      <w:color w:val="0000FF"/>
      <w:u w:val="single"/>
    </w:rPr>
  </w:style>
  <w:style w:type="character" w:styleId="a5">
    <w:name w:val="Emphasis"/>
    <w:qFormat/>
    <w:rPr>
      <w:i/>
      <w:iCs/>
    </w:rPr>
  </w:style>
  <w:style w:type="character" w:customStyle="1" w:styleId="bottom1">
    <w:name w:val="bottom1"/>
    <w:basedOn w:val="a0"/>
  </w:style>
  <w:style w:type="character" w:customStyle="1" w:styleId="bottom11">
    <w:name w:val="bottom11"/>
    <w:rPr>
      <w:color w:val="434343"/>
    </w:rPr>
  </w:style>
  <w:style w:type="character" w:customStyle="1" w:styleId="a6">
    <w:name w:val="页眉 字符"/>
    <w:link w:val="a7"/>
    <w:rPr>
      <w:kern w:val="2"/>
      <w:sz w:val="18"/>
      <w:szCs w:val="18"/>
    </w:rPr>
  </w:style>
  <w:style w:type="character" w:customStyle="1" w:styleId="a8">
    <w:name w:val="批注文字 字符"/>
    <w:link w:val="a9"/>
    <w:rPr>
      <w:kern w:val="2"/>
      <w:sz w:val="21"/>
      <w:szCs w:val="24"/>
    </w:rPr>
  </w:style>
  <w:style w:type="character" w:customStyle="1" w:styleId="a111">
    <w:name w:val="a111"/>
    <w:rPr>
      <w:b w:val="0"/>
      <w:bCs w:val="0"/>
      <w:strike w:val="0"/>
      <w:dstrike w:val="0"/>
      <w:color w:val="000000"/>
      <w:sz w:val="18"/>
      <w:szCs w:val="18"/>
      <w:u w:val="none"/>
    </w:rPr>
  </w:style>
  <w:style w:type="character" w:customStyle="1" w:styleId="aa">
    <w:name w:val="纯文本 字符"/>
    <w:link w:val="ab"/>
    <w:rPr>
      <w:rFonts w:ascii="宋体" w:eastAsia="宋体" w:hAnsi="Courier New"/>
      <w:kern w:val="2"/>
      <w:sz w:val="21"/>
      <w:szCs w:val="21"/>
      <w:lang w:val="en-US" w:eastAsia="zh-CN" w:bidi="ar-SA"/>
    </w:rPr>
  </w:style>
  <w:style w:type="character" w:customStyle="1" w:styleId="ac">
    <w:name w:val="批注主题 字符"/>
    <w:basedOn w:val="a8"/>
    <w:link w:val="ad"/>
    <w:rPr>
      <w:kern w:val="2"/>
      <w:sz w:val="21"/>
      <w:szCs w:val="24"/>
    </w:rPr>
  </w:style>
  <w:style w:type="character" w:customStyle="1" w:styleId="apple-converted-space">
    <w:name w:val="apple-converted-space"/>
    <w:basedOn w:val="a0"/>
  </w:style>
  <w:style w:type="paragraph" w:styleId="ad">
    <w:name w:val="annotation subject"/>
    <w:basedOn w:val="a9"/>
    <w:next w:val="a9"/>
    <w:link w:val="ac"/>
    <w:rPr>
      <w:b/>
      <w:bCs/>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lang w:val="x-none" w:eastAsia="x-none"/>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
    <w:name w:val="footer"/>
    <w:basedOn w:val="a"/>
    <w:pPr>
      <w:tabs>
        <w:tab w:val="center" w:pos="4153"/>
        <w:tab w:val="right" w:pos="8306"/>
      </w:tabs>
      <w:snapToGrid w:val="0"/>
      <w:jc w:val="left"/>
    </w:pPr>
    <w:rPr>
      <w:sz w:val="18"/>
      <w:szCs w:val="18"/>
    </w:rPr>
  </w:style>
  <w:style w:type="paragraph" w:styleId="a9">
    <w:name w:val="annotation text"/>
    <w:basedOn w:val="a"/>
    <w:link w:val="a8"/>
    <w:pPr>
      <w:jc w:val="left"/>
    </w:pPr>
    <w:rPr>
      <w:lang w:val="x-none" w:eastAsia="x-none"/>
    </w:rPr>
  </w:style>
  <w:style w:type="paragraph" w:styleId="af0">
    <w:name w:val="Balloon Text"/>
    <w:basedOn w:val="a"/>
    <w:semiHidden/>
    <w:rPr>
      <w:sz w:val="18"/>
      <w:szCs w:val="18"/>
    </w:rPr>
  </w:style>
  <w:style w:type="paragraph" w:styleId="ab">
    <w:name w:val="Plain Text"/>
    <w:basedOn w:val="a"/>
    <w:link w:val="aa"/>
    <w:rPr>
      <w:rFonts w:ascii="宋体" w:hAnsi="Courier New"/>
      <w:szCs w:val="21"/>
    </w:rPr>
  </w:style>
  <w:style w:type="paragraph" w:customStyle="1" w:styleId="Char2">
    <w:name w:val="Char2"/>
    <w:basedOn w:val="a"/>
  </w:style>
  <w:style w:type="paragraph" w:customStyle="1" w:styleId="Char">
    <w:name w:val="Char"/>
    <w:basedOn w:val="a"/>
    <w:rPr>
      <w:rFonts w:ascii="Tahoma" w:hAnsi="Tahoma"/>
      <w:sz w:val="24"/>
      <w:szCs w:val="20"/>
    </w:rPr>
  </w:style>
  <w:style w:type="paragraph" w:customStyle="1" w:styleId="Char20">
    <w:name w:val="Char2"/>
    <w:basedOn w:val="a"/>
    <w:semiHidden/>
    <w:rPr>
      <w:rFonts w:ascii="Tahoma" w:hAnsi="Tahoma"/>
      <w:sz w:val="24"/>
      <w:szCs w:val="20"/>
    </w:rPr>
  </w:style>
  <w:style w:type="paragraph" w:styleId="af1">
    <w:name w:val="List Paragraph"/>
    <w:basedOn w:val="a"/>
    <w:uiPriority w:val="34"/>
    <w:qFormat/>
    <w:pPr>
      <w:ind w:firstLineChars="200" w:firstLine="420"/>
    </w:pPr>
    <w:rPr>
      <w:rFonts w:ascii="Calibri" w:hAnsi="Calibri"/>
      <w:szCs w:val="22"/>
    </w:rPr>
  </w:style>
  <w:style w:type="paragraph" w:customStyle="1" w:styleId="ListParagraph1">
    <w:name w:val="List Paragraph1"/>
    <w:basedOn w:val="a"/>
    <w:pPr>
      <w:ind w:firstLineChars="200" w:firstLine="420"/>
    </w:pPr>
    <w:rPr>
      <w:rFonts w:ascii="Calibri" w:hAnsi="Calibri"/>
      <w:szCs w:val="22"/>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77069">
      <w:bodyDiv w:val="1"/>
      <w:marLeft w:val="0"/>
      <w:marRight w:val="0"/>
      <w:marTop w:val="0"/>
      <w:marBottom w:val="0"/>
      <w:divBdr>
        <w:top w:val="none" w:sz="0" w:space="0" w:color="auto"/>
        <w:left w:val="none" w:sz="0" w:space="0" w:color="auto"/>
        <w:bottom w:val="none" w:sz="0" w:space="0" w:color="auto"/>
        <w:right w:val="none" w:sz="0" w:space="0" w:color="auto"/>
      </w:divBdr>
      <w:divsChild>
        <w:div w:id="797602107">
          <w:marLeft w:val="0"/>
          <w:marRight w:val="0"/>
          <w:marTop w:val="0"/>
          <w:marBottom w:val="0"/>
          <w:divBdr>
            <w:top w:val="none" w:sz="0" w:space="0" w:color="auto"/>
            <w:left w:val="none" w:sz="0" w:space="0" w:color="auto"/>
            <w:bottom w:val="none" w:sz="0" w:space="0" w:color="auto"/>
            <w:right w:val="none" w:sz="0" w:space="0" w:color="auto"/>
          </w:divBdr>
        </w:div>
      </w:divsChild>
    </w:div>
    <w:div w:id="758983327">
      <w:bodyDiv w:val="1"/>
      <w:marLeft w:val="0"/>
      <w:marRight w:val="0"/>
      <w:marTop w:val="0"/>
      <w:marBottom w:val="0"/>
      <w:divBdr>
        <w:top w:val="none" w:sz="0" w:space="0" w:color="auto"/>
        <w:left w:val="none" w:sz="0" w:space="0" w:color="auto"/>
        <w:bottom w:val="none" w:sz="0" w:space="0" w:color="auto"/>
        <w:right w:val="none" w:sz="0" w:space="0" w:color="auto"/>
      </w:divBdr>
    </w:div>
    <w:div w:id="982084778">
      <w:bodyDiv w:val="1"/>
      <w:marLeft w:val="0"/>
      <w:marRight w:val="0"/>
      <w:marTop w:val="0"/>
      <w:marBottom w:val="0"/>
      <w:divBdr>
        <w:top w:val="none" w:sz="0" w:space="0" w:color="auto"/>
        <w:left w:val="none" w:sz="0" w:space="0" w:color="auto"/>
        <w:bottom w:val="none" w:sz="0" w:space="0" w:color="auto"/>
        <w:right w:val="none" w:sz="0" w:space="0" w:color="auto"/>
      </w:divBdr>
    </w:div>
    <w:div w:id="1475292196">
      <w:bodyDiv w:val="1"/>
      <w:marLeft w:val="0"/>
      <w:marRight w:val="0"/>
      <w:marTop w:val="0"/>
      <w:marBottom w:val="0"/>
      <w:divBdr>
        <w:top w:val="none" w:sz="0" w:space="0" w:color="auto"/>
        <w:left w:val="none" w:sz="0" w:space="0" w:color="auto"/>
        <w:bottom w:val="none" w:sz="0" w:space="0" w:color="auto"/>
        <w:right w:val="none" w:sz="0" w:space="0" w:color="auto"/>
      </w:divBdr>
    </w:div>
    <w:div w:id="1500074054">
      <w:bodyDiv w:val="1"/>
      <w:marLeft w:val="0"/>
      <w:marRight w:val="0"/>
      <w:marTop w:val="0"/>
      <w:marBottom w:val="0"/>
      <w:divBdr>
        <w:top w:val="none" w:sz="0" w:space="0" w:color="auto"/>
        <w:left w:val="none" w:sz="0" w:space="0" w:color="auto"/>
        <w:bottom w:val="none" w:sz="0" w:space="0" w:color="auto"/>
        <w:right w:val="none" w:sz="0" w:space="0" w:color="auto"/>
      </w:divBdr>
      <w:divsChild>
        <w:div w:id="751632770">
          <w:marLeft w:val="0"/>
          <w:marRight w:val="0"/>
          <w:marTop w:val="180"/>
          <w:marBottom w:val="0"/>
          <w:divBdr>
            <w:top w:val="none" w:sz="0" w:space="0" w:color="auto"/>
            <w:left w:val="none" w:sz="0" w:space="0" w:color="auto"/>
            <w:bottom w:val="none" w:sz="0" w:space="0" w:color="auto"/>
            <w:right w:val="none" w:sz="0" w:space="0" w:color="auto"/>
          </w:divBdr>
        </w:div>
      </w:divsChild>
    </w:div>
    <w:div w:id="1791049073">
      <w:bodyDiv w:val="1"/>
      <w:marLeft w:val="0"/>
      <w:marRight w:val="0"/>
      <w:marTop w:val="0"/>
      <w:marBottom w:val="0"/>
      <w:divBdr>
        <w:top w:val="none" w:sz="0" w:space="0" w:color="auto"/>
        <w:left w:val="none" w:sz="0" w:space="0" w:color="auto"/>
        <w:bottom w:val="none" w:sz="0" w:space="0" w:color="auto"/>
        <w:right w:val="none" w:sz="0" w:space="0" w:color="auto"/>
      </w:divBdr>
    </w:div>
    <w:div w:id="2002155448">
      <w:bodyDiv w:val="1"/>
      <w:marLeft w:val="0"/>
      <w:marRight w:val="0"/>
      <w:marTop w:val="0"/>
      <w:marBottom w:val="0"/>
      <w:divBdr>
        <w:top w:val="none" w:sz="0" w:space="0" w:color="auto"/>
        <w:left w:val="none" w:sz="0" w:space="0" w:color="auto"/>
        <w:bottom w:val="none" w:sz="0" w:space="0" w:color="auto"/>
        <w:right w:val="none" w:sz="0" w:space="0" w:color="auto"/>
      </w:divBdr>
      <w:divsChild>
        <w:div w:id="180330282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1927</Characters>
  <Application>Microsoft Office Word</Application>
  <DocSecurity>0</DocSecurity>
  <PresentationFormat/>
  <Lines>16</Lines>
  <Paragraphs>4</Paragraphs>
  <Slides>0</Slides>
  <Notes>0</Notes>
  <HiddenSlides>0</HiddenSlides>
  <MMClips>0</MMClips>
  <ScaleCrop>false</ScaleCrop>
  <Company>Lenovo (Beijing) Limited</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证券代码：300057                                         证券简称：万顺股份</dc:title>
  <dc:creator>User</dc:creator>
  <cp:lastModifiedBy>Wenyan Niu</cp:lastModifiedBy>
  <cp:revision>2</cp:revision>
  <cp:lastPrinted>2013-01-17T06:52:00Z</cp:lastPrinted>
  <dcterms:created xsi:type="dcterms:W3CDTF">2021-04-29T03:43:00Z</dcterms:created>
  <dcterms:modified xsi:type="dcterms:W3CDTF">2021-04-29T03:43:00Z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